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FC3" w:rsidRPr="00524FC3" w:rsidRDefault="00524FC3" w:rsidP="00524FC3">
      <w:pPr>
        <w:pStyle w:val="Heading1"/>
        <w:jc w:val="center"/>
        <w:rPr>
          <w:rStyle w:val="Strong"/>
          <w:b/>
          <w:sz w:val="44"/>
          <w:szCs w:val="44"/>
        </w:rPr>
      </w:pPr>
      <w:r w:rsidRPr="00524FC3">
        <w:rPr>
          <w:rStyle w:val="Strong"/>
          <w:b/>
          <w:sz w:val="44"/>
          <w:szCs w:val="44"/>
        </w:rPr>
        <w:t>English 12 Course Outline</w:t>
      </w:r>
    </w:p>
    <w:p w:rsidR="00524FC3" w:rsidRPr="00524FC3" w:rsidRDefault="00524FC3" w:rsidP="00524FC3"/>
    <w:p w:rsidR="00343FAE" w:rsidRDefault="00343FAE" w:rsidP="00343FAE">
      <w:pPr>
        <w:pStyle w:val="Heading1"/>
        <w:rPr>
          <w:rStyle w:val="Strong"/>
          <w:b/>
        </w:rPr>
      </w:pPr>
      <w:r>
        <w:rPr>
          <w:rStyle w:val="Strong"/>
          <w:b/>
        </w:rPr>
        <w:t>Course Description</w:t>
      </w:r>
    </w:p>
    <w:p w:rsidR="00343FAE" w:rsidRDefault="00343FAE" w:rsidP="00343FAE"/>
    <w:p w:rsidR="00343FAE" w:rsidRDefault="00343FAE" w:rsidP="00156865">
      <w:pPr>
        <w:pStyle w:val="NoSpacing"/>
      </w:pPr>
      <w:r>
        <w:t>The purpose of this course is to provide students with opportunities to use and appreciate language.  In a world flooded with information, it is crucial to be able to decipher meaning from and communicate clearly through language.  By developing speaking, listening, reading, viewing, writing and representing skills, students will be better equipped to face today’s world.  In addition, the study of literature generates greater self-awareness and a deeper appreciation of the richness and complexity of the human experience.</w:t>
      </w:r>
    </w:p>
    <w:p w:rsidR="00343FAE" w:rsidRDefault="00343FAE" w:rsidP="002528AF"/>
    <w:p w:rsidR="002528AF" w:rsidRDefault="002528AF" w:rsidP="00524FC3">
      <w:pPr>
        <w:pStyle w:val="Heading1"/>
      </w:pPr>
      <w:r>
        <w:t>Course Content</w:t>
      </w:r>
    </w:p>
    <w:p w:rsidR="00524FC3" w:rsidRPr="00524FC3" w:rsidRDefault="00524FC3" w:rsidP="00524FC3"/>
    <w:p w:rsidR="00DA7859" w:rsidRPr="00524FC3" w:rsidRDefault="00DA7859" w:rsidP="00524FC3">
      <w:pPr>
        <w:pStyle w:val="Heading2"/>
      </w:pPr>
      <w:r w:rsidRPr="00524FC3">
        <w:t>Unit 1</w:t>
      </w:r>
      <w:r w:rsidRPr="00524FC3">
        <w:tab/>
      </w:r>
      <w:r w:rsidRPr="00524FC3">
        <w:tab/>
        <w:t>Speaking and Listening</w:t>
      </w:r>
    </w:p>
    <w:p w:rsidR="00DA7859" w:rsidRDefault="00DA7859" w:rsidP="00DA7859">
      <w:r>
        <w:t>You will develop your speaking and listening skills through informal discussion</w:t>
      </w:r>
      <w:r w:rsidR="00156865">
        <w:t>s</w:t>
      </w:r>
      <w:r>
        <w:t xml:space="preserve">, formal oral presentations and </w:t>
      </w:r>
      <w:r w:rsidR="00156865">
        <w:t>collaborative activities.</w:t>
      </w:r>
    </w:p>
    <w:p w:rsidR="00DA7859" w:rsidRPr="00DA7859" w:rsidRDefault="00DA7859" w:rsidP="00DA7859"/>
    <w:p w:rsidR="00DA7859" w:rsidRPr="00524FC3" w:rsidRDefault="00DA7859" w:rsidP="00524FC3">
      <w:pPr>
        <w:pStyle w:val="Heading2"/>
      </w:pPr>
      <w:r w:rsidRPr="00524FC3">
        <w:t>Unit 2</w:t>
      </w:r>
      <w:r w:rsidRPr="00524FC3">
        <w:tab/>
      </w:r>
      <w:r w:rsidRPr="00524FC3">
        <w:tab/>
        <w:t>Reading and Viewing</w:t>
      </w:r>
    </w:p>
    <w:p w:rsidR="00975184" w:rsidRDefault="00156865" w:rsidP="00156865">
      <w:pPr>
        <w:pStyle w:val="NoSpacing"/>
      </w:pPr>
      <w:r>
        <w:t xml:space="preserve">You will develop your reading and viewing skills through </w:t>
      </w:r>
      <w:r w:rsidR="00975184">
        <w:t xml:space="preserve">the study of a variety of multi-modal texts. </w:t>
      </w:r>
    </w:p>
    <w:p w:rsidR="00975184" w:rsidRDefault="00975184" w:rsidP="00156865">
      <w:pPr>
        <w:pStyle w:val="NoSpacing"/>
      </w:pPr>
    </w:p>
    <w:p w:rsidR="00975184" w:rsidRDefault="00975184" w:rsidP="00156865">
      <w:pPr>
        <w:pStyle w:val="NoSpacing"/>
        <w:numPr>
          <w:ilvl w:val="0"/>
          <w:numId w:val="7"/>
        </w:numPr>
      </w:pPr>
      <w:r w:rsidRPr="00524FC3">
        <w:rPr>
          <w:b/>
        </w:rPr>
        <w:t>Literary Texts</w:t>
      </w:r>
      <w:r>
        <w:t xml:space="preserve"> (short stories, plays, poetry, novels, etc.)</w:t>
      </w:r>
    </w:p>
    <w:p w:rsidR="00975184" w:rsidRDefault="00975184" w:rsidP="00156865">
      <w:pPr>
        <w:pStyle w:val="NoSpacing"/>
        <w:numPr>
          <w:ilvl w:val="0"/>
          <w:numId w:val="7"/>
        </w:numPr>
      </w:pPr>
      <w:r w:rsidRPr="00524FC3">
        <w:rPr>
          <w:b/>
        </w:rPr>
        <w:t>Information and Persuasive Texts</w:t>
      </w:r>
      <w:r>
        <w:t xml:space="preserve"> (articles and reports, biographies, reference materials, advertisements, newspapers, opinion-based materials, etc.)</w:t>
      </w:r>
    </w:p>
    <w:p w:rsidR="00975184" w:rsidRDefault="00975184" w:rsidP="00975184">
      <w:pPr>
        <w:pStyle w:val="NoSpacing"/>
        <w:numPr>
          <w:ilvl w:val="0"/>
          <w:numId w:val="7"/>
        </w:numPr>
      </w:pPr>
      <w:r w:rsidRPr="00524FC3">
        <w:rPr>
          <w:b/>
        </w:rPr>
        <w:t>Visual Texts</w:t>
      </w:r>
      <w:r>
        <w:t xml:space="preserve"> (media, web sites, graphic novels, film and video, photographs, etc.)</w:t>
      </w:r>
    </w:p>
    <w:p w:rsidR="00975184" w:rsidRPr="00156865" w:rsidRDefault="00975184" w:rsidP="00156865">
      <w:pPr>
        <w:pStyle w:val="NoSpacing"/>
      </w:pPr>
    </w:p>
    <w:p w:rsidR="00524FC3" w:rsidRPr="00524FC3" w:rsidRDefault="00DA7859" w:rsidP="00524FC3">
      <w:pPr>
        <w:pStyle w:val="Heading2"/>
      </w:pPr>
      <w:r>
        <w:t>Unit 3</w:t>
      </w:r>
      <w:r>
        <w:tab/>
      </w:r>
      <w:r>
        <w:tab/>
        <w:t>Writing and Representing</w:t>
      </w:r>
    </w:p>
    <w:p w:rsidR="00975184" w:rsidRDefault="00975184" w:rsidP="00975184">
      <w:pPr>
        <w:pStyle w:val="NoSpacing"/>
      </w:pPr>
      <w:r>
        <w:t xml:space="preserve">You will develop your </w:t>
      </w:r>
      <w:r w:rsidR="00524FC3">
        <w:t>writing and representing</w:t>
      </w:r>
      <w:r>
        <w:t xml:space="preserve"> skills through</w:t>
      </w:r>
      <w:r w:rsidR="00524FC3">
        <w:t xml:space="preserve"> the creation of a variety of multi-modal texts.</w:t>
      </w:r>
    </w:p>
    <w:p w:rsidR="00524FC3" w:rsidRDefault="00524FC3" w:rsidP="00975184">
      <w:pPr>
        <w:pStyle w:val="NoSpacing"/>
      </w:pPr>
    </w:p>
    <w:p w:rsidR="00524FC3" w:rsidRDefault="00524FC3" w:rsidP="00524FC3">
      <w:pPr>
        <w:pStyle w:val="NoSpacing"/>
        <w:numPr>
          <w:ilvl w:val="0"/>
          <w:numId w:val="8"/>
        </w:numPr>
      </w:pPr>
      <w:r w:rsidRPr="00524FC3">
        <w:rPr>
          <w:b/>
        </w:rPr>
        <w:t>Personal Texts</w:t>
      </w:r>
      <w:r>
        <w:t xml:space="preserve"> (connecting, quick writes, journaling, notes, etc.)</w:t>
      </w:r>
    </w:p>
    <w:p w:rsidR="00524FC3" w:rsidRDefault="00524FC3" w:rsidP="00524FC3">
      <w:pPr>
        <w:pStyle w:val="NoSpacing"/>
        <w:numPr>
          <w:ilvl w:val="0"/>
          <w:numId w:val="8"/>
        </w:numPr>
      </w:pPr>
      <w:r w:rsidRPr="00524FC3">
        <w:rPr>
          <w:b/>
        </w:rPr>
        <w:t>Information Texts</w:t>
      </w:r>
      <w:r>
        <w:t xml:space="preserve"> (persuasive &amp; information essays, literary analysis, etc.)</w:t>
      </w:r>
    </w:p>
    <w:p w:rsidR="00524FC3" w:rsidRDefault="00524FC3" w:rsidP="00524FC3">
      <w:pPr>
        <w:pStyle w:val="NoSpacing"/>
        <w:numPr>
          <w:ilvl w:val="0"/>
          <w:numId w:val="8"/>
        </w:numPr>
      </w:pPr>
      <w:r w:rsidRPr="00524FC3">
        <w:rPr>
          <w:b/>
        </w:rPr>
        <w:t>Imaginative Texts</w:t>
      </w:r>
      <w:r>
        <w:t xml:space="preserve"> (poems, stories, descriptive essays, etc.)</w:t>
      </w:r>
    </w:p>
    <w:p w:rsidR="00524FC3" w:rsidRPr="00975184" w:rsidRDefault="00524FC3" w:rsidP="00524FC3">
      <w:pPr>
        <w:pStyle w:val="NoSpacing"/>
        <w:numPr>
          <w:ilvl w:val="0"/>
          <w:numId w:val="8"/>
        </w:numPr>
      </w:pPr>
      <w:r w:rsidRPr="00524FC3">
        <w:rPr>
          <w:b/>
        </w:rPr>
        <w:t>Representations</w:t>
      </w:r>
      <w:r>
        <w:t xml:space="preserve"> (brainstorming, posters, </w:t>
      </w:r>
      <w:proofErr w:type="spellStart"/>
      <w:r>
        <w:t>prezis</w:t>
      </w:r>
      <w:proofErr w:type="spellEnd"/>
      <w:r>
        <w:t xml:space="preserve">, videos, </w:t>
      </w:r>
      <w:proofErr w:type="spellStart"/>
      <w:r>
        <w:t>PowerPoints</w:t>
      </w:r>
      <w:proofErr w:type="spellEnd"/>
      <w:r>
        <w:t>, etc.)</w:t>
      </w:r>
    </w:p>
    <w:p w:rsidR="00975184" w:rsidRPr="00975184" w:rsidRDefault="00975184" w:rsidP="00975184">
      <w:pPr>
        <w:pStyle w:val="NoSpacing"/>
      </w:pPr>
    </w:p>
    <w:p w:rsidR="00343FAE" w:rsidRPr="00343FAE" w:rsidRDefault="00343FAE" w:rsidP="00343FAE">
      <w:pPr>
        <w:pStyle w:val="Heading1"/>
        <w:rPr>
          <w:rStyle w:val="Strong"/>
          <w:b/>
        </w:rPr>
      </w:pPr>
      <w:r w:rsidRPr="00343FAE">
        <w:rPr>
          <w:rStyle w:val="Strong"/>
          <w:b/>
        </w:rPr>
        <w:lastRenderedPageBreak/>
        <w:t xml:space="preserve">Learning Outcomes </w:t>
      </w:r>
    </w:p>
    <w:p w:rsidR="00343FAE" w:rsidRPr="00343FAE" w:rsidRDefault="00343FAE" w:rsidP="00343FAE"/>
    <w:p w:rsidR="003025DB" w:rsidRDefault="003025DB" w:rsidP="003025DB">
      <w:r>
        <w:rPr>
          <w:rStyle w:val="Strong"/>
        </w:rPr>
        <w:t>What are learning outcomes?</w:t>
      </w:r>
    </w:p>
    <w:p w:rsidR="00343FAE" w:rsidRDefault="00343FAE" w:rsidP="003025DB"/>
    <w:p w:rsidR="003025DB" w:rsidRDefault="003025DB" w:rsidP="003025DB">
      <w:r>
        <w:t>Learning outcomes are the skills and content students are expected to master by the end of a course.</w:t>
      </w:r>
    </w:p>
    <w:p w:rsidR="008B2EE7" w:rsidRDefault="008B2EE7" w:rsidP="008B2EE7">
      <w:pPr>
        <w:pStyle w:val="Heading2"/>
      </w:pPr>
    </w:p>
    <w:p w:rsidR="00343FAE" w:rsidRDefault="00343FAE" w:rsidP="008B2EE7">
      <w:pPr>
        <w:pStyle w:val="Heading2"/>
      </w:pPr>
      <w:r>
        <w:t>Summary of English 12 Learning Outcomes</w:t>
      </w:r>
    </w:p>
    <w:p w:rsidR="00343FAE" w:rsidRDefault="00343FAE" w:rsidP="00156865">
      <w:pPr>
        <w:pStyle w:val="NoSpacing"/>
      </w:pPr>
    </w:p>
    <w:p w:rsidR="00DA7859" w:rsidRPr="00DA7859" w:rsidRDefault="00DA7859" w:rsidP="008B2EE7">
      <w:pPr>
        <w:pStyle w:val="Heading2"/>
      </w:pPr>
      <w:r w:rsidRPr="00DA7859">
        <w:t>Speaking and Listening Skills</w:t>
      </w:r>
    </w:p>
    <w:p w:rsidR="00DA7859" w:rsidRDefault="00DA7859" w:rsidP="00156865">
      <w:pPr>
        <w:pStyle w:val="NoSpacing"/>
      </w:pPr>
    </w:p>
    <w:p w:rsidR="00DA7859" w:rsidRPr="008B2EE7" w:rsidRDefault="00DA7859" w:rsidP="00156865">
      <w:pPr>
        <w:pStyle w:val="NoSpacing"/>
        <w:rPr>
          <w:i/>
        </w:rPr>
      </w:pPr>
      <w:r w:rsidRPr="008B2EE7">
        <w:rPr>
          <w:i/>
        </w:rPr>
        <w:t>Students will be able to:</w:t>
      </w:r>
    </w:p>
    <w:p w:rsidR="00DA7859" w:rsidRDefault="00DA7859" w:rsidP="00156865">
      <w:pPr>
        <w:pStyle w:val="NoSpacing"/>
        <w:numPr>
          <w:ilvl w:val="0"/>
          <w:numId w:val="4"/>
        </w:numPr>
      </w:pPr>
      <w:r>
        <w:t>use language to collaborate effectively, express themselves and to listen critically;</w:t>
      </w:r>
    </w:p>
    <w:p w:rsidR="00DA7859" w:rsidRDefault="00DA7859" w:rsidP="00156865">
      <w:pPr>
        <w:pStyle w:val="NoSpacing"/>
        <w:numPr>
          <w:ilvl w:val="0"/>
          <w:numId w:val="4"/>
        </w:numPr>
      </w:pPr>
      <w:r>
        <w:t>adapt and apply speaking and listening strategies;</w:t>
      </w:r>
    </w:p>
    <w:p w:rsidR="00DA7859" w:rsidRDefault="00DA7859" w:rsidP="00156865">
      <w:pPr>
        <w:pStyle w:val="NoSpacing"/>
        <w:numPr>
          <w:ilvl w:val="0"/>
          <w:numId w:val="4"/>
        </w:numPr>
      </w:pPr>
      <w:r>
        <w:t xml:space="preserve">use language to </w:t>
      </w:r>
      <w:r w:rsidRPr="002416E7">
        <w:t xml:space="preserve">connect to, </w:t>
      </w:r>
      <w:proofErr w:type="spellStart"/>
      <w:r w:rsidRPr="002416E7">
        <w:t>analyse</w:t>
      </w:r>
      <w:proofErr w:type="spellEnd"/>
      <w:r w:rsidRPr="002416E7">
        <w:t>, and evaluate a variety of texts</w:t>
      </w:r>
      <w:r>
        <w:t>;</w:t>
      </w:r>
    </w:p>
    <w:p w:rsidR="00DA7859" w:rsidRDefault="00DA7859" w:rsidP="00156865">
      <w:pPr>
        <w:pStyle w:val="NoSpacing"/>
        <w:numPr>
          <w:ilvl w:val="0"/>
          <w:numId w:val="4"/>
        </w:numPr>
      </w:pPr>
      <w:proofErr w:type="gramStart"/>
      <w:r>
        <w:t>recognize</w:t>
      </w:r>
      <w:proofErr w:type="gramEnd"/>
      <w:r>
        <w:t xml:space="preserve"> and apply the structures and features of oral language.</w:t>
      </w:r>
    </w:p>
    <w:p w:rsidR="00DA7859" w:rsidRPr="002416E7" w:rsidRDefault="00DA7859" w:rsidP="00156865">
      <w:pPr>
        <w:pStyle w:val="NoSpacing"/>
      </w:pPr>
    </w:p>
    <w:p w:rsidR="00DA7859" w:rsidRPr="00DA7859" w:rsidRDefault="00DA7859" w:rsidP="008B2EE7">
      <w:pPr>
        <w:pStyle w:val="Heading2"/>
      </w:pPr>
      <w:r w:rsidRPr="00DA7859">
        <w:t>Reading and Viewing Skills</w:t>
      </w:r>
    </w:p>
    <w:p w:rsidR="00DA7859" w:rsidRDefault="00DA7859" w:rsidP="00156865">
      <w:pPr>
        <w:pStyle w:val="NoSpacing"/>
      </w:pPr>
    </w:p>
    <w:p w:rsidR="00DA7859" w:rsidRPr="008B2EE7" w:rsidRDefault="00DA7859" w:rsidP="00156865">
      <w:pPr>
        <w:pStyle w:val="NoSpacing"/>
        <w:rPr>
          <w:i/>
        </w:rPr>
      </w:pPr>
      <w:r w:rsidRPr="008B2EE7">
        <w:rPr>
          <w:i/>
        </w:rPr>
        <w:t>Students will be able to:</w:t>
      </w:r>
    </w:p>
    <w:p w:rsidR="00DA7859" w:rsidRDefault="00DA7859" w:rsidP="00156865">
      <w:pPr>
        <w:pStyle w:val="NoSpacing"/>
        <w:numPr>
          <w:ilvl w:val="0"/>
          <w:numId w:val="5"/>
        </w:numPr>
      </w:pPr>
      <w:r>
        <w:t>read and view a variety of literary, informative, persuasive, and visual texts;</w:t>
      </w:r>
    </w:p>
    <w:p w:rsidR="00DA7859" w:rsidRDefault="00DA7859" w:rsidP="00156865">
      <w:pPr>
        <w:pStyle w:val="NoSpacing"/>
        <w:numPr>
          <w:ilvl w:val="0"/>
          <w:numId w:val="5"/>
        </w:numPr>
      </w:pPr>
      <w:r>
        <w:t>select, adapt, and apply strategies before, during, and after reading and viewing;</w:t>
      </w:r>
    </w:p>
    <w:p w:rsidR="00DA7859" w:rsidRDefault="00DA7859" w:rsidP="00156865">
      <w:pPr>
        <w:pStyle w:val="NoSpacing"/>
        <w:numPr>
          <w:ilvl w:val="0"/>
          <w:numId w:val="5"/>
        </w:numPr>
      </w:pPr>
      <w:r>
        <w:t>describe personal connections to text, and evaluate ideas and information presented in texts;</w:t>
      </w:r>
    </w:p>
    <w:p w:rsidR="00DA7859" w:rsidRDefault="00DA7859" w:rsidP="00156865">
      <w:pPr>
        <w:pStyle w:val="NoSpacing"/>
        <w:numPr>
          <w:ilvl w:val="0"/>
          <w:numId w:val="5"/>
        </w:numPr>
      </w:pPr>
      <w:proofErr w:type="gramStart"/>
      <w:r>
        <w:t>recognize</w:t>
      </w:r>
      <w:proofErr w:type="gramEnd"/>
      <w:r>
        <w:t xml:space="preserve"> and explain how text structures and features enhance understanding of text.</w:t>
      </w:r>
    </w:p>
    <w:p w:rsidR="00DA7859" w:rsidRDefault="00DA7859" w:rsidP="00156865">
      <w:pPr>
        <w:pStyle w:val="NoSpacing"/>
      </w:pPr>
    </w:p>
    <w:p w:rsidR="00DA7859" w:rsidRPr="00DA7859" w:rsidRDefault="00DA7859" w:rsidP="008B2EE7">
      <w:pPr>
        <w:pStyle w:val="Heading2"/>
      </w:pPr>
      <w:r w:rsidRPr="00DA7859">
        <w:t>Writing and Representing Skills</w:t>
      </w:r>
    </w:p>
    <w:p w:rsidR="00DA7859" w:rsidRDefault="00DA7859" w:rsidP="00156865">
      <w:pPr>
        <w:pStyle w:val="NoSpacing"/>
      </w:pPr>
    </w:p>
    <w:p w:rsidR="00DA7859" w:rsidRPr="008B2EE7" w:rsidRDefault="00DA7859" w:rsidP="00156865">
      <w:pPr>
        <w:pStyle w:val="NoSpacing"/>
        <w:rPr>
          <w:i/>
        </w:rPr>
      </w:pPr>
      <w:r w:rsidRPr="008B2EE7">
        <w:rPr>
          <w:i/>
        </w:rPr>
        <w:t>Students will be able to:</w:t>
      </w:r>
    </w:p>
    <w:p w:rsidR="00DA7859" w:rsidRDefault="00DA7859" w:rsidP="00156865">
      <w:pPr>
        <w:pStyle w:val="NoSpacing"/>
        <w:numPr>
          <w:ilvl w:val="0"/>
          <w:numId w:val="6"/>
        </w:numPr>
      </w:pPr>
      <w:r>
        <w:t>create a variety of texts, including meaningful personal texts, purposeful information texts, and effective imaginative texts for a variety of purposes;</w:t>
      </w:r>
    </w:p>
    <w:p w:rsidR="00DA7859" w:rsidRDefault="00DA7859" w:rsidP="00156865">
      <w:pPr>
        <w:pStyle w:val="NoSpacing"/>
        <w:numPr>
          <w:ilvl w:val="0"/>
          <w:numId w:val="6"/>
        </w:numPr>
      </w:pPr>
      <w:r>
        <w:t>select, adapt, and apply a range of strategies;</w:t>
      </w:r>
    </w:p>
    <w:p w:rsidR="00DA7859" w:rsidRDefault="00DA7859" w:rsidP="00156865">
      <w:pPr>
        <w:pStyle w:val="NoSpacing"/>
        <w:numPr>
          <w:ilvl w:val="0"/>
          <w:numId w:val="6"/>
        </w:numPr>
      </w:pPr>
      <w:r>
        <w:t>use writing and representing to articulate personal responses, evaluate ideas and information, and synthesize and extend their thinking;</w:t>
      </w:r>
    </w:p>
    <w:p w:rsidR="00DA7859" w:rsidRDefault="00DA7859" w:rsidP="00156865">
      <w:pPr>
        <w:pStyle w:val="NoSpacing"/>
        <w:numPr>
          <w:ilvl w:val="0"/>
          <w:numId w:val="6"/>
        </w:numPr>
      </w:pPr>
      <w:proofErr w:type="gramStart"/>
      <w:r>
        <w:t>use</w:t>
      </w:r>
      <w:proofErr w:type="gramEnd"/>
      <w:r>
        <w:t xml:space="preserve"> elements of style, form, and convention (e.g. literary devices) appropriate to purpose and audience.</w:t>
      </w:r>
    </w:p>
    <w:p w:rsidR="00343FAE" w:rsidRPr="00343FAE" w:rsidRDefault="00343FAE" w:rsidP="00156865">
      <w:pPr>
        <w:pStyle w:val="NoSpacing"/>
      </w:pPr>
    </w:p>
    <w:p w:rsidR="00343FAE" w:rsidRPr="008B2EE7" w:rsidRDefault="00343FAE" w:rsidP="00156865">
      <w:pPr>
        <w:pStyle w:val="NoSpacing"/>
        <w:rPr>
          <w:sz w:val="16"/>
          <w:szCs w:val="16"/>
        </w:rPr>
      </w:pPr>
      <w:r w:rsidRPr="008B2EE7">
        <w:rPr>
          <w:sz w:val="16"/>
          <w:szCs w:val="16"/>
        </w:rPr>
        <w:t xml:space="preserve">*For a complete list please go to </w:t>
      </w:r>
      <w:hyperlink r:id="rId7" w:history="1">
        <w:r w:rsidRPr="008B2EE7">
          <w:rPr>
            <w:rStyle w:val="Hyperlink"/>
            <w:sz w:val="16"/>
            <w:szCs w:val="16"/>
          </w:rPr>
          <w:t>http://www.bced.gov.bc.ca/irp/pdfs/english_language_arts/2007ela_812.pdf</w:t>
        </w:r>
      </w:hyperlink>
    </w:p>
    <w:p w:rsidR="00343FAE" w:rsidRDefault="002F2457" w:rsidP="00343FAE">
      <w:pPr>
        <w:pStyle w:val="Heading1"/>
      </w:pPr>
      <w:r w:rsidRPr="002F2457">
        <w:rPr>
          <w:rStyle w:val="Strong"/>
          <w:noProof/>
        </w:rPr>
        <w:lastRenderedPageBreak/>
        <mc:AlternateContent>
          <mc:Choice Requires="wps">
            <w:drawing>
              <wp:anchor distT="45720" distB="45720" distL="114300" distR="114300" simplePos="0" relativeHeight="251659264" behindDoc="0" locked="0" layoutInCell="1" allowOverlap="1" wp14:anchorId="75B7BFB1" wp14:editId="2541E289">
                <wp:simplePos x="0" y="0"/>
                <wp:positionH relativeFrom="column">
                  <wp:posOffset>3905250</wp:posOffset>
                </wp:positionH>
                <wp:positionV relativeFrom="paragraph">
                  <wp:posOffset>0</wp:posOffset>
                </wp:positionV>
                <wp:extent cx="1276350" cy="10572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057275"/>
                        </a:xfrm>
                        <a:prstGeom prst="rect">
                          <a:avLst/>
                        </a:prstGeom>
                        <a:solidFill>
                          <a:srgbClr val="FFFFFF"/>
                        </a:solidFill>
                        <a:ln w="9525">
                          <a:noFill/>
                          <a:miter lim="800000"/>
                          <a:headEnd/>
                          <a:tailEnd/>
                        </a:ln>
                      </wps:spPr>
                      <wps:txbx>
                        <w:txbxContent>
                          <w:p w:rsidR="002F2457" w:rsidRDefault="002F2457">
                            <w:r>
                              <w:rPr>
                                <w:rFonts w:ascii="Times New Roman" w:hAnsi="Times New Roman"/>
                                <w:noProof/>
                                <w:sz w:val="48"/>
                                <w:szCs w:val="48"/>
                              </w:rPr>
                              <w:drawing>
                                <wp:inline distT="0" distB="0" distL="0" distR="0" wp14:anchorId="36E6FAEC" wp14:editId="5634F185">
                                  <wp:extent cx="1180619" cy="8953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port_ca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5525" cy="91423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B7BFB1" id="_x0000_t202" coordsize="21600,21600" o:spt="202" path="m,l,21600r21600,l21600,xe">
                <v:stroke joinstyle="miter"/>
                <v:path gradientshapeok="t" o:connecttype="rect"/>
              </v:shapetype>
              <v:shape id="Text Box 2" o:spid="_x0000_s1026" type="#_x0000_t202" style="position:absolute;margin-left:307.5pt;margin-top:0;width:100.5pt;height:8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" stroked="f">
                <v:textbox>
                  <w:txbxContent>
                    <w:p w:rsidR="002F2457" w:rsidRDefault="002F2457">
                      <w:r>
                        <w:rPr>
                          <w:rFonts w:ascii="Times New Roman" w:hAnsi="Times New Roman"/>
                          <w:noProof/>
                          <w:sz w:val="48"/>
                          <w:szCs w:val="48"/>
                        </w:rPr>
                        <w:drawing>
                          <wp:inline distT="0" distB="0" distL="0" distR="0" wp14:anchorId="36E6FAEC" wp14:editId="5634F185">
                            <wp:extent cx="1180619" cy="8953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port_car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5525" cy="914238"/>
                                    </a:xfrm>
                                    <a:prstGeom prst="rect">
                                      <a:avLst/>
                                    </a:prstGeom>
                                  </pic:spPr>
                                </pic:pic>
                              </a:graphicData>
                            </a:graphic>
                          </wp:inline>
                        </w:drawing>
                      </w:r>
                    </w:p>
                  </w:txbxContent>
                </v:textbox>
                <w10:wrap type="square"/>
              </v:shape>
            </w:pict>
          </mc:Fallback>
        </mc:AlternateContent>
      </w:r>
      <w:r w:rsidR="00343FAE">
        <w:t>Grading and Assessment</w:t>
      </w:r>
      <w:r w:rsidR="008C100D">
        <w:tab/>
      </w:r>
    </w:p>
    <w:p w:rsidR="008C100D" w:rsidRPr="008C100D" w:rsidRDefault="008C100D" w:rsidP="008C100D"/>
    <w:p w:rsidR="00343FAE" w:rsidRDefault="00343FAE" w:rsidP="00343FAE">
      <w:pPr>
        <w:pStyle w:val="NormalWeb"/>
      </w:pPr>
      <w:r>
        <w:rPr>
          <w:rStyle w:val="Strong"/>
          <w:rFonts w:eastAsiaTheme="majorEastAsia"/>
        </w:rPr>
        <w:t>How will I be assessed? </w:t>
      </w:r>
    </w:p>
    <w:p w:rsidR="002F2457" w:rsidRDefault="00343FAE" w:rsidP="00343FAE">
      <w:r w:rsidRPr="00343FAE">
        <w:t>You will receive a highlighted </w:t>
      </w:r>
      <w:hyperlink r:id="rId10" w:history="1">
        <w:r w:rsidRPr="00343FAE">
          <w:rPr>
            <w:rStyle w:val="Hyperlink"/>
            <w:color w:val="auto"/>
            <w:u w:val="none"/>
          </w:rPr>
          <w:t>rubric</w:t>
        </w:r>
      </w:hyperlink>
      <w:r w:rsidRPr="00343FAE">
        <w:t> </w:t>
      </w:r>
      <w:r w:rsidR="002F2457">
        <w:t xml:space="preserve">showing how </w:t>
      </w:r>
    </w:p>
    <w:p w:rsidR="00343FAE" w:rsidRPr="00343FAE" w:rsidRDefault="00343FAE" w:rsidP="00343FAE">
      <w:pPr>
        <w:rPr>
          <w:i/>
          <w:iCs/>
        </w:rPr>
      </w:pPr>
      <w:proofErr w:type="gramStart"/>
      <w:r w:rsidRPr="00343FAE">
        <w:t>well</w:t>
      </w:r>
      <w:proofErr w:type="gramEnd"/>
      <w:r w:rsidRPr="00343FAE">
        <w:t xml:space="preserve"> you have mastered each learning outcome for this course. </w:t>
      </w:r>
      <w:r w:rsidRPr="00343FAE">
        <w:rPr>
          <w:rStyle w:val="Emphasis"/>
        </w:rPr>
        <w:t xml:space="preserve">(The language and format for this rubric is taken from the Ministry of Education’s </w:t>
      </w:r>
      <w:hyperlink r:id="rId11" w:tgtFrame="_blank" w:history="1">
        <w:r w:rsidRPr="00343FAE">
          <w:rPr>
            <w:rStyle w:val="Hyperlink"/>
            <w:i/>
            <w:iCs/>
            <w:color w:val="auto"/>
            <w:u w:val="none"/>
          </w:rPr>
          <w:t>Performance Standards</w:t>
        </w:r>
      </w:hyperlink>
      <w:r w:rsidRPr="00343FAE">
        <w:rPr>
          <w:rStyle w:val="Emphasis"/>
        </w:rPr>
        <w:t>.)</w:t>
      </w:r>
    </w:p>
    <w:p w:rsidR="00343FAE" w:rsidRDefault="00343FAE" w:rsidP="00343FAE">
      <w:pPr>
        <w:pStyle w:val="NormalWeb"/>
      </w:pPr>
      <w:r>
        <w:rPr>
          <w:rStyle w:val="Strong"/>
          <w:rFonts w:eastAsiaTheme="majorEastAsia"/>
        </w:rPr>
        <w:t>Why do I get a rubric for a report card?</w:t>
      </w:r>
    </w:p>
    <w:p w:rsidR="00343FAE" w:rsidRDefault="00343FAE" w:rsidP="00343FAE">
      <w:pPr>
        <w:pStyle w:val="NormalWeb"/>
      </w:pPr>
      <w:r>
        <w:t>A rubric shows you how well you have mastered each learning outcome. Knowing what you are doing well and what you need to focus on is more important than knowing what percentage you got on an assignment.</w:t>
      </w:r>
    </w:p>
    <w:p w:rsidR="00343FAE" w:rsidRDefault="00343FAE" w:rsidP="00343FAE">
      <w:pPr>
        <w:pStyle w:val="NormalWeb"/>
      </w:pPr>
      <w:r>
        <w:rPr>
          <w:rStyle w:val="Strong"/>
          <w:rFonts w:eastAsiaTheme="majorEastAsia"/>
        </w:rPr>
        <w:t>Why do I still get a percentage and letter grade on my report card?</w:t>
      </w:r>
    </w:p>
    <w:p w:rsidR="00343FAE" w:rsidRDefault="00343FAE" w:rsidP="00343FAE">
      <w:pPr>
        <w:pStyle w:val="NormalWeb"/>
      </w:pPr>
      <w:r>
        <w:t>Despite encouraging assessment practices that are more descriptive, the Ministry still requires that a percentage and letter grade be entered for senior students. See below for how your rubric grade is converted into a percentage and letter grade.</w:t>
      </w:r>
    </w:p>
    <w:tbl>
      <w:tblPr>
        <w:tblW w:w="9590"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6"/>
        <w:gridCol w:w="3197"/>
        <w:gridCol w:w="3197"/>
      </w:tblGrid>
      <w:tr w:rsidR="00343FAE" w:rsidTr="00343FAE">
        <w:trPr>
          <w:trHeight w:val="286"/>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rPr>
                <w:rStyle w:val="Strong"/>
              </w:rPr>
              <w:t>Rubric Grade</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rPr>
                <w:rStyle w:val="Strong"/>
              </w:rPr>
              <w:t>Percentage</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rPr>
                <w:rStyle w:val="Strong"/>
              </w:rPr>
              <w:t>Letter Grade</w:t>
            </w:r>
          </w:p>
        </w:tc>
      </w:tr>
      <w:tr w:rsidR="00343FAE" w:rsidTr="00343FAE">
        <w:trPr>
          <w:trHeight w:val="271"/>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t>4-   / 4</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90%   – 100%</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A</w:t>
            </w:r>
          </w:p>
        </w:tc>
      </w:tr>
      <w:tr w:rsidR="00343FAE" w:rsidTr="00343FAE">
        <w:trPr>
          <w:trHeight w:val="286"/>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t>3-   / 3 / 3+</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75%   – 80% – 85%</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B</w:t>
            </w:r>
          </w:p>
        </w:tc>
      </w:tr>
      <w:tr w:rsidR="00343FAE" w:rsidTr="00343FAE">
        <w:trPr>
          <w:trHeight w:val="271"/>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t>2+</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70%</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C+</w:t>
            </w:r>
          </w:p>
        </w:tc>
      </w:tr>
      <w:tr w:rsidR="00343FAE" w:rsidTr="00343FAE">
        <w:trPr>
          <w:trHeight w:val="286"/>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t>2</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60%   – 65%</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C</w:t>
            </w:r>
          </w:p>
        </w:tc>
      </w:tr>
      <w:tr w:rsidR="00343FAE" w:rsidTr="00343FAE">
        <w:trPr>
          <w:trHeight w:val="286"/>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t>2-</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50%   – 55%</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C-</w:t>
            </w:r>
          </w:p>
        </w:tc>
      </w:tr>
      <w:tr w:rsidR="00343FAE" w:rsidTr="00343FAE">
        <w:trPr>
          <w:trHeight w:val="271"/>
          <w:tblCellSpacing w:w="0" w:type="dxa"/>
        </w:trPr>
        <w:tc>
          <w:tcPr>
            <w:tcW w:w="3196" w:type="dxa"/>
            <w:tcBorders>
              <w:top w:val="outset" w:sz="6" w:space="0" w:color="auto"/>
              <w:left w:val="outset" w:sz="6" w:space="0" w:color="auto"/>
              <w:bottom w:val="outset" w:sz="6" w:space="0" w:color="auto"/>
              <w:right w:val="outset" w:sz="6" w:space="0" w:color="auto"/>
            </w:tcBorders>
            <w:hideMark/>
          </w:tcPr>
          <w:p w:rsidR="00343FAE" w:rsidRDefault="00343FAE" w:rsidP="000C6736">
            <w:r>
              <w:t>1   / 1+</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1%   – 45%</w:t>
            </w:r>
          </w:p>
        </w:tc>
        <w:tc>
          <w:tcPr>
            <w:tcW w:w="3197" w:type="dxa"/>
            <w:tcBorders>
              <w:top w:val="outset" w:sz="6" w:space="0" w:color="auto"/>
              <w:left w:val="outset" w:sz="6" w:space="0" w:color="auto"/>
              <w:bottom w:val="outset" w:sz="6" w:space="0" w:color="auto"/>
              <w:right w:val="outset" w:sz="6" w:space="0" w:color="auto"/>
            </w:tcBorders>
            <w:hideMark/>
          </w:tcPr>
          <w:p w:rsidR="00343FAE" w:rsidRDefault="00343FAE" w:rsidP="000C6736">
            <w:r>
              <w:t>I   (Incomplete)</w:t>
            </w:r>
          </w:p>
        </w:tc>
      </w:tr>
    </w:tbl>
    <w:p w:rsidR="00E91C59" w:rsidRDefault="00E91C59" w:rsidP="00156865">
      <w:pPr>
        <w:pStyle w:val="NoSpacing"/>
      </w:pPr>
    </w:p>
    <w:p w:rsidR="00E85054" w:rsidRPr="00E85054" w:rsidRDefault="00E85054" w:rsidP="00156865">
      <w:pPr>
        <w:pStyle w:val="NoSpacing"/>
        <w:rPr>
          <w:b/>
        </w:rPr>
      </w:pPr>
      <w:r w:rsidRPr="00E85054">
        <w:rPr>
          <w:b/>
        </w:rPr>
        <w:t>How much is everything worth?</w:t>
      </w:r>
    </w:p>
    <w:p w:rsidR="00E85054" w:rsidRDefault="00E85054" w:rsidP="00156865">
      <w:pPr>
        <w:pStyle w:val="NoSpacing"/>
      </w:pPr>
    </w:p>
    <w:tbl>
      <w:tblPr>
        <w:tblStyle w:val="TableGrid"/>
        <w:tblW w:w="0" w:type="auto"/>
        <w:tblLook w:val="04A0" w:firstRow="1" w:lastRow="0" w:firstColumn="1" w:lastColumn="0" w:noHBand="0" w:noVBand="1"/>
      </w:tblPr>
      <w:tblGrid>
        <w:gridCol w:w="4675"/>
        <w:gridCol w:w="4675"/>
      </w:tblGrid>
      <w:tr w:rsidR="00E85054" w:rsidTr="00E85054">
        <w:tc>
          <w:tcPr>
            <w:tcW w:w="4675" w:type="dxa"/>
          </w:tcPr>
          <w:p w:rsidR="00E85054" w:rsidRPr="00E85054" w:rsidRDefault="00E85054" w:rsidP="00E85054">
            <w:pPr>
              <w:rPr>
                <w:b/>
              </w:rPr>
            </w:pPr>
            <w:r w:rsidRPr="00E85054">
              <w:rPr>
                <w:b/>
              </w:rPr>
              <w:t>Course Section</w:t>
            </w:r>
          </w:p>
        </w:tc>
        <w:tc>
          <w:tcPr>
            <w:tcW w:w="4675" w:type="dxa"/>
          </w:tcPr>
          <w:p w:rsidR="00E85054" w:rsidRPr="00E85054" w:rsidRDefault="00E85054" w:rsidP="00E85054">
            <w:pPr>
              <w:rPr>
                <w:b/>
              </w:rPr>
            </w:pPr>
            <w:r w:rsidRPr="00E85054">
              <w:rPr>
                <w:b/>
              </w:rPr>
              <w:t>Percentage of Final Grade</w:t>
            </w:r>
          </w:p>
        </w:tc>
      </w:tr>
      <w:tr w:rsidR="00E85054" w:rsidTr="00E85054">
        <w:tc>
          <w:tcPr>
            <w:tcW w:w="4675" w:type="dxa"/>
          </w:tcPr>
          <w:p w:rsidR="00E85054" w:rsidRDefault="00E85054" w:rsidP="00E85054">
            <w:r>
              <w:t>Writing and Representing</w:t>
            </w:r>
          </w:p>
        </w:tc>
        <w:tc>
          <w:tcPr>
            <w:tcW w:w="4675" w:type="dxa"/>
          </w:tcPr>
          <w:p w:rsidR="00E85054" w:rsidRDefault="00E85054" w:rsidP="00E85054">
            <w:r>
              <w:t>20%</w:t>
            </w:r>
          </w:p>
        </w:tc>
      </w:tr>
      <w:tr w:rsidR="00E85054" w:rsidTr="00E85054">
        <w:tc>
          <w:tcPr>
            <w:tcW w:w="4675" w:type="dxa"/>
          </w:tcPr>
          <w:p w:rsidR="00E85054" w:rsidRDefault="00E85054" w:rsidP="00E85054">
            <w:r>
              <w:t>Reading and Viewing</w:t>
            </w:r>
          </w:p>
        </w:tc>
        <w:tc>
          <w:tcPr>
            <w:tcW w:w="4675" w:type="dxa"/>
          </w:tcPr>
          <w:p w:rsidR="00E85054" w:rsidRDefault="00E85054" w:rsidP="00E85054">
            <w:r>
              <w:t>20%</w:t>
            </w:r>
          </w:p>
        </w:tc>
      </w:tr>
      <w:tr w:rsidR="00E85054" w:rsidTr="00E85054">
        <w:tc>
          <w:tcPr>
            <w:tcW w:w="4675" w:type="dxa"/>
          </w:tcPr>
          <w:p w:rsidR="00E85054" w:rsidRDefault="00E85054" w:rsidP="00E85054">
            <w:r>
              <w:t>Speaking and Listening</w:t>
            </w:r>
          </w:p>
        </w:tc>
        <w:tc>
          <w:tcPr>
            <w:tcW w:w="4675" w:type="dxa"/>
          </w:tcPr>
          <w:p w:rsidR="00E85054" w:rsidRDefault="00E85054" w:rsidP="00E85054">
            <w:r>
              <w:t>20%</w:t>
            </w:r>
          </w:p>
        </w:tc>
      </w:tr>
      <w:tr w:rsidR="00E85054" w:rsidTr="00E85054">
        <w:tc>
          <w:tcPr>
            <w:tcW w:w="4675" w:type="dxa"/>
          </w:tcPr>
          <w:p w:rsidR="00E85054" w:rsidRPr="00D15413" w:rsidRDefault="00E85054" w:rsidP="00E85054">
            <w:pPr>
              <w:rPr>
                <w:b/>
                <w:i/>
              </w:rPr>
            </w:pPr>
            <w:r w:rsidRPr="00D15413">
              <w:rPr>
                <w:b/>
                <w:i/>
              </w:rPr>
              <w:t>Final Provincial Exam</w:t>
            </w:r>
          </w:p>
        </w:tc>
        <w:tc>
          <w:tcPr>
            <w:tcW w:w="4675" w:type="dxa"/>
          </w:tcPr>
          <w:p w:rsidR="00E85054" w:rsidRPr="00D15413" w:rsidRDefault="00E85054" w:rsidP="00E85054">
            <w:pPr>
              <w:rPr>
                <w:b/>
                <w:i/>
              </w:rPr>
            </w:pPr>
            <w:r w:rsidRPr="00D15413">
              <w:rPr>
                <w:b/>
                <w:i/>
              </w:rPr>
              <w:t>40%</w:t>
            </w:r>
          </w:p>
        </w:tc>
      </w:tr>
    </w:tbl>
    <w:p w:rsidR="00E85054" w:rsidRDefault="00F975E6" w:rsidP="008C100D">
      <w:pPr>
        <w:pStyle w:val="Heading1"/>
      </w:pPr>
      <w:r>
        <w:lastRenderedPageBreak/>
        <w:t>Provincial Exam</w:t>
      </w:r>
    </w:p>
    <w:p w:rsidR="00F975E6" w:rsidRDefault="00F975E6" w:rsidP="00F975E6">
      <w:r>
        <w:t>All English 12 students must write a provincial exam worth 40% of their mark. Former exams and answers keys are available at the below site. Students who attend fully will be very prepared for their final exam.</w:t>
      </w:r>
    </w:p>
    <w:p w:rsidR="00F975E6" w:rsidRDefault="00F975E6" w:rsidP="00F975E6">
      <w:pPr>
        <w:pStyle w:val="NoSpacing"/>
      </w:pPr>
    </w:p>
    <w:p w:rsidR="00F975E6" w:rsidRPr="00E54EE8" w:rsidRDefault="00F975E6" w:rsidP="00F975E6">
      <w:pPr>
        <w:pStyle w:val="NoSpacing"/>
        <w:rPr>
          <w:b/>
        </w:rPr>
      </w:pPr>
      <w:r w:rsidRPr="00E54EE8">
        <w:rPr>
          <w:b/>
        </w:rPr>
        <w:t xml:space="preserve">Exam Date: </w:t>
      </w:r>
      <w:r w:rsidRPr="00E54EE8">
        <w:rPr>
          <w:b/>
        </w:rPr>
        <w:tab/>
      </w:r>
      <w:r w:rsidRPr="00E54EE8">
        <w:rPr>
          <w:b/>
        </w:rPr>
        <w:tab/>
        <w:t>Monday, January 27, 2014</w:t>
      </w:r>
    </w:p>
    <w:p w:rsidR="00F975E6" w:rsidRPr="00E54EE8" w:rsidRDefault="00D15413" w:rsidP="00F975E6">
      <w:pPr>
        <w:pStyle w:val="NoSpacing"/>
        <w:rPr>
          <w:b/>
        </w:rPr>
      </w:pPr>
      <w:r w:rsidRPr="00E54EE8">
        <w:rPr>
          <w:b/>
        </w:rPr>
        <w:t xml:space="preserve">Exam Time: </w:t>
      </w:r>
      <w:r w:rsidRPr="00E54EE8">
        <w:rPr>
          <w:b/>
        </w:rPr>
        <w:tab/>
      </w:r>
      <w:r w:rsidRPr="00E54EE8">
        <w:rPr>
          <w:b/>
        </w:rPr>
        <w:tab/>
        <w:t>8:45</w:t>
      </w:r>
      <w:r w:rsidR="00F975E6" w:rsidRPr="00E54EE8">
        <w:rPr>
          <w:b/>
        </w:rPr>
        <w:t>am-12pm (3 hours allowed)</w:t>
      </w:r>
    </w:p>
    <w:p w:rsidR="00F975E6" w:rsidRPr="00E54EE8" w:rsidRDefault="00F975E6" w:rsidP="00F975E6">
      <w:pPr>
        <w:pStyle w:val="NoSpacing"/>
        <w:rPr>
          <w:b/>
        </w:rPr>
      </w:pPr>
      <w:r w:rsidRPr="00E54EE8">
        <w:rPr>
          <w:b/>
        </w:rPr>
        <w:t xml:space="preserve">Location: </w:t>
      </w:r>
      <w:r w:rsidRPr="00E54EE8">
        <w:rPr>
          <w:b/>
        </w:rPr>
        <w:tab/>
      </w:r>
      <w:r w:rsidRPr="00E54EE8">
        <w:rPr>
          <w:b/>
        </w:rPr>
        <w:tab/>
        <w:t>TBA</w:t>
      </w:r>
    </w:p>
    <w:p w:rsidR="00F975E6" w:rsidRDefault="00F975E6" w:rsidP="00F975E6">
      <w:pPr>
        <w:pStyle w:val="NoSpacing"/>
      </w:pPr>
    </w:p>
    <w:p w:rsidR="00F975E6" w:rsidRDefault="00F975E6" w:rsidP="00F975E6">
      <w:pPr>
        <w:pStyle w:val="NoSpacing"/>
      </w:pPr>
      <w:r w:rsidRPr="00E54EE8">
        <w:rPr>
          <w:b/>
        </w:rPr>
        <w:t>Exam Website:</w:t>
      </w:r>
      <w:r>
        <w:t xml:space="preserve"> </w:t>
      </w:r>
      <w:r>
        <w:tab/>
      </w:r>
      <w:hyperlink r:id="rId12" w:history="1">
        <w:r w:rsidRPr="008819E5">
          <w:rPr>
            <w:rStyle w:val="Hyperlink"/>
          </w:rPr>
          <w:t>http://www.bced.gov.bc.ca/exams/</w:t>
        </w:r>
      </w:hyperlink>
    </w:p>
    <w:p w:rsidR="00207514" w:rsidRDefault="00207514" w:rsidP="00207514">
      <w:pPr>
        <w:pStyle w:val="NoSpacing"/>
      </w:pPr>
    </w:p>
    <w:p w:rsidR="00207514" w:rsidRPr="00E54EE8" w:rsidRDefault="00207514" w:rsidP="00207514">
      <w:pPr>
        <w:pStyle w:val="NoSpacing"/>
        <w:rPr>
          <w:b/>
        </w:rPr>
      </w:pPr>
      <w:r w:rsidRPr="00E54EE8">
        <w:rPr>
          <w:b/>
        </w:rPr>
        <w:t>Exam Summary:</w:t>
      </w:r>
      <w:r w:rsidRPr="00E54EE8">
        <w:rPr>
          <w:b/>
        </w:rPr>
        <w:tab/>
      </w:r>
    </w:p>
    <w:p w:rsidR="00207514" w:rsidRDefault="00207514" w:rsidP="00207514">
      <w:pPr>
        <w:pStyle w:val="NoSpacing"/>
        <w:numPr>
          <w:ilvl w:val="0"/>
          <w:numId w:val="13"/>
        </w:numPr>
      </w:pPr>
      <w:r>
        <w:t xml:space="preserve">This exam will evaluate your reading comprehension skills, writing skills and ability to draw connections between texts and </w:t>
      </w:r>
      <w:r w:rsidR="00D15413">
        <w:t>the world.</w:t>
      </w:r>
    </w:p>
    <w:p w:rsidR="00207514" w:rsidRDefault="00D15413" w:rsidP="00207514">
      <w:pPr>
        <w:pStyle w:val="NoSpacing"/>
        <w:numPr>
          <w:ilvl w:val="0"/>
          <w:numId w:val="13"/>
        </w:numPr>
      </w:pPr>
      <w:r>
        <w:t>You will r</w:t>
      </w:r>
      <w:r w:rsidR="00207514">
        <w:t>ead 3</w:t>
      </w:r>
      <w:r>
        <w:t xml:space="preserve"> short</w:t>
      </w:r>
      <w:r w:rsidR="00207514">
        <w:t xml:space="preserve"> texts (fiction, non-fiction, poem</w:t>
      </w:r>
      <w:r>
        <w:t>(s)</w:t>
      </w:r>
      <w:r w:rsidR="00207514">
        <w:t>, etc.)</w:t>
      </w:r>
      <w:r>
        <w:t>.</w:t>
      </w:r>
    </w:p>
    <w:p w:rsidR="00207514" w:rsidRDefault="00D15413" w:rsidP="00207514">
      <w:pPr>
        <w:pStyle w:val="NoSpacing"/>
        <w:numPr>
          <w:ilvl w:val="0"/>
          <w:numId w:val="13"/>
        </w:numPr>
      </w:pPr>
      <w:r>
        <w:t>You will a</w:t>
      </w:r>
      <w:r w:rsidR="00207514">
        <w:t>nswer 23 multiple choice questions</w:t>
      </w:r>
      <w:r>
        <w:t xml:space="preserve"> that evaluate your ability to </w:t>
      </w:r>
      <w:r w:rsidR="00207514">
        <w:t>find information, recognize meaning, interpret text</w:t>
      </w:r>
      <w:r>
        <w:t>s, analyze texts, and connect texts.</w:t>
      </w:r>
    </w:p>
    <w:p w:rsidR="00207514" w:rsidRPr="00F975E6" w:rsidRDefault="00D15413" w:rsidP="00207514">
      <w:pPr>
        <w:pStyle w:val="NoSpacing"/>
        <w:numPr>
          <w:ilvl w:val="0"/>
          <w:numId w:val="13"/>
        </w:numPr>
      </w:pPr>
      <w:r>
        <w:t>You will w</w:t>
      </w:r>
      <w:r w:rsidR="00207514">
        <w:t>rite one short response and two essays</w:t>
      </w:r>
      <w:r>
        <w:t>.</w:t>
      </w:r>
    </w:p>
    <w:p w:rsidR="00207514" w:rsidRPr="00E54EE8" w:rsidRDefault="00207514" w:rsidP="00F975E6">
      <w:pPr>
        <w:pStyle w:val="NoSpacing"/>
        <w:rPr>
          <w:b/>
        </w:rPr>
      </w:pPr>
    </w:p>
    <w:p w:rsidR="00F975E6" w:rsidRPr="00E54EE8" w:rsidRDefault="00F975E6" w:rsidP="00F975E6">
      <w:pPr>
        <w:pStyle w:val="NoSpacing"/>
        <w:rPr>
          <w:b/>
        </w:rPr>
      </w:pPr>
      <w:r w:rsidRPr="00E54EE8">
        <w:rPr>
          <w:b/>
        </w:rPr>
        <w:t xml:space="preserve">Exam Sections: </w:t>
      </w:r>
    </w:p>
    <w:tbl>
      <w:tblPr>
        <w:tblStyle w:val="TableGrid"/>
        <w:tblW w:w="0" w:type="auto"/>
        <w:tblLook w:val="04A0" w:firstRow="1" w:lastRow="0" w:firstColumn="1" w:lastColumn="0" w:noHBand="0" w:noVBand="1"/>
      </w:tblPr>
      <w:tblGrid>
        <w:gridCol w:w="535"/>
        <w:gridCol w:w="2520"/>
        <w:gridCol w:w="2374"/>
        <w:gridCol w:w="3206"/>
        <w:gridCol w:w="715"/>
      </w:tblGrid>
      <w:tr w:rsidR="00207514" w:rsidTr="00207514">
        <w:tc>
          <w:tcPr>
            <w:tcW w:w="535" w:type="dxa"/>
          </w:tcPr>
          <w:p w:rsidR="00207514" w:rsidRDefault="00207514" w:rsidP="00F975E6">
            <w:pPr>
              <w:pStyle w:val="NoSpacing"/>
            </w:pPr>
          </w:p>
        </w:tc>
        <w:tc>
          <w:tcPr>
            <w:tcW w:w="2520" w:type="dxa"/>
          </w:tcPr>
          <w:p w:rsidR="00207514" w:rsidRPr="00207514" w:rsidRDefault="00207514" w:rsidP="00F975E6">
            <w:pPr>
              <w:pStyle w:val="NoSpacing"/>
              <w:rPr>
                <w:b/>
              </w:rPr>
            </w:pPr>
            <w:r w:rsidRPr="00207514">
              <w:rPr>
                <w:b/>
              </w:rPr>
              <w:t>Section</w:t>
            </w:r>
          </w:p>
        </w:tc>
        <w:tc>
          <w:tcPr>
            <w:tcW w:w="2374" w:type="dxa"/>
          </w:tcPr>
          <w:p w:rsidR="00207514" w:rsidRPr="00207514" w:rsidRDefault="00207514" w:rsidP="00F975E6">
            <w:pPr>
              <w:pStyle w:val="NoSpacing"/>
              <w:rPr>
                <w:b/>
              </w:rPr>
            </w:pPr>
            <w:r w:rsidRPr="00207514">
              <w:rPr>
                <w:b/>
              </w:rPr>
              <w:t>Type of Questions</w:t>
            </w:r>
          </w:p>
        </w:tc>
        <w:tc>
          <w:tcPr>
            <w:tcW w:w="3206" w:type="dxa"/>
          </w:tcPr>
          <w:p w:rsidR="00207514" w:rsidRPr="00207514" w:rsidRDefault="00207514" w:rsidP="00F975E6">
            <w:pPr>
              <w:pStyle w:val="NoSpacing"/>
              <w:rPr>
                <w:b/>
              </w:rPr>
            </w:pPr>
            <w:r w:rsidRPr="00207514">
              <w:rPr>
                <w:b/>
              </w:rPr>
              <w:t>Writing Details</w:t>
            </w:r>
          </w:p>
        </w:tc>
        <w:tc>
          <w:tcPr>
            <w:tcW w:w="715" w:type="dxa"/>
          </w:tcPr>
          <w:p w:rsidR="00207514" w:rsidRPr="00207514" w:rsidRDefault="00207514" w:rsidP="00F975E6">
            <w:pPr>
              <w:pStyle w:val="NoSpacing"/>
              <w:rPr>
                <w:b/>
              </w:rPr>
            </w:pPr>
            <w:r w:rsidRPr="00207514">
              <w:rPr>
                <w:b/>
              </w:rPr>
              <w:t>%</w:t>
            </w:r>
          </w:p>
        </w:tc>
      </w:tr>
      <w:tr w:rsidR="00207514" w:rsidTr="00207514">
        <w:tc>
          <w:tcPr>
            <w:tcW w:w="535" w:type="dxa"/>
          </w:tcPr>
          <w:p w:rsidR="00207514" w:rsidRPr="00207514" w:rsidRDefault="00207514" w:rsidP="00F975E6">
            <w:pPr>
              <w:pStyle w:val="NoSpacing"/>
              <w:rPr>
                <w:b/>
              </w:rPr>
            </w:pPr>
            <w:r w:rsidRPr="00207514">
              <w:rPr>
                <w:b/>
              </w:rPr>
              <w:t>A</w:t>
            </w:r>
          </w:p>
        </w:tc>
        <w:tc>
          <w:tcPr>
            <w:tcW w:w="2520" w:type="dxa"/>
          </w:tcPr>
          <w:p w:rsidR="00207514" w:rsidRDefault="00207514" w:rsidP="00F975E6">
            <w:pPr>
              <w:pStyle w:val="NoSpacing"/>
            </w:pPr>
            <w:r>
              <w:t>Stand Alone Text</w:t>
            </w:r>
          </w:p>
        </w:tc>
        <w:tc>
          <w:tcPr>
            <w:tcW w:w="2374" w:type="dxa"/>
          </w:tcPr>
          <w:p w:rsidR="00207514" w:rsidRDefault="00207514" w:rsidP="00F975E6">
            <w:pPr>
              <w:pStyle w:val="NoSpacing"/>
            </w:pPr>
            <w:r>
              <w:t>7 multiple choice</w:t>
            </w:r>
          </w:p>
          <w:p w:rsidR="00207514" w:rsidRDefault="00207514" w:rsidP="00F975E6">
            <w:pPr>
              <w:pStyle w:val="NoSpacing"/>
            </w:pPr>
            <w:r>
              <w:t>1 written response</w:t>
            </w:r>
          </w:p>
        </w:tc>
        <w:tc>
          <w:tcPr>
            <w:tcW w:w="3206" w:type="dxa"/>
          </w:tcPr>
          <w:p w:rsidR="00207514" w:rsidRDefault="00207514" w:rsidP="00F975E6">
            <w:pPr>
              <w:pStyle w:val="NoSpacing"/>
            </w:pPr>
            <w:r>
              <w:t>-2-3 short paragraphs or 1 long one</w:t>
            </w:r>
          </w:p>
          <w:p w:rsidR="00207514" w:rsidRDefault="00207514" w:rsidP="00F975E6">
            <w:pPr>
              <w:pStyle w:val="NoSpacing"/>
            </w:pPr>
            <w:r>
              <w:t>-Analyzing 1 text</w:t>
            </w:r>
          </w:p>
        </w:tc>
        <w:tc>
          <w:tcPr>
            <w:tcW w:w="715" w:type="dxa"/>
          </w:tcPr>
          <w:p w:rsidR="00207514" w:rsidRDefault="00207514" w:rsidP="00F975E6">
            <w:pPr>
              <w:pStyle w:val="NoSpacing"/>
            </w:pPr>
            <w:r>
              <w:t>23%</w:t>
            </w:r>
          </w:p>
        </w:tc>
      </w:tr>
      <w:tr w:rsidR="00207514" w:rsidTr="00207514">
        <w:tc>
          <w:tcPr>
            <w:tcW w:w="535" w:type="dxa"/>
          </w:tcPr>
          <w:p w:rsidR="00207514" w:rsidRPr="00207514" w:rsidRDefault="00207514" w:rsidP="00F975E6">
            <w:pPr>
              <w:pStyle w:val="NoSpacing"/>
              <w:rPr>
                <w:b/>
              </w:rPr>
            </w:pPr>
            <w:r w:rsidRPr="00207514">
              <w:rPr>
                <w:b/>
              </w:rPr>
              <w:t>B</w:t>
            </w:r>
          </w:p>
        </w:tc>
        <w:tc>
          <w:tcPr>
            <w:tcW w:w="2520" w:type="dxa"/>
          </w:tcPr>
          <w:p w:rsidR="00207514" w:rsidRDefault="00207514" w:rsidP="00F975E6">
            <w:pPr>
              <w:pStyle w:val="NoSpacing"/>
            </w:pPr>
            <w:r>
              <w:t>Synthesis of 2 Texts</w:t>
            </w:r>
          </w:p>
        </w:tc>
        <w:tc>
          <w:tcPr>
            <w:tcW w:w="2374" w:type="dxa"/>
          </w:tcPr>
          <w:p w:rsidR="00207514" w:rsidRDefault="00207514" w:rsidP="00F975E6">
            <w:pPr>
              <w:pStyle w:val="NoSpacing"/>
            </w:pPr>
            <w:r>
              <w:t>14 multiple choice</w:t>
            </w:r>
          </w:p>
        </w:tc>
        <w:tc>
          <w:tcPr>
            <w:tcW w:w="3206" w:type="dxa"/>
          </w:tcPr>
          <w:p w:rsidR="00207514" w:rsidRDefault="00207514" w:rsidP="00F975E6">
            <w:pPr>
              <w:pStyle w:val="NoSpacing"/>
            </w:pPr>
            <w:r>
              <w:t>N/A</w:t>
            </w:r>
          </w:p>
        </w:tc>
        <w:tc>
          <w:tcPr>
            <w:tcW w:w="715" w:type="dxa"/>
          </w:tcPr>
          <w:p w:rsidR="00207514" w:rsidRDefault="00207514" w:rsidP="00F975E6">
            <w:pPr>
              <w:pStyle w:val="NoSpacing"/>
            </w:pPr>
            <w:r>
              <w:t>17%</w:t>
            </w:r>
          </w:p>
        </w:tc>
      </w:tr>
      <w:tr w:rsidR="00207514" w:rsidTr="00207514">
        <w:tc>
          <w:tcPr>
            <w:tcW w:w="535" w:type="dxa"/>
          </w:tcPr>
          <w:p w:rsidR="00207514" w:rsidRPr="00207514" w:rsidRDefault="00207514" w:rsidP="00F975E6">
            <w:pPr>
              <w:pStyle w:val="NoSpacing"/>
              <w:rPr>
                <w:b/>
              </w:rPr>
            </w:pPr>
            <w:r w:rsidRPr="00207514">
              <w:rPr>
                <w:b/>
              </w:rPr>
              <w:t>C</w:t>
            </w:r>
          </w:p>
        </w:tc>
        <w:tc>
          <w:tcPr>
            <w:tcW w:w="2520" w:type="dxa"/>
          </w:tcPr>
          <w:p w:rsidR="00207514" w:rsidRDefault="00207514" w:rsidP="00F975E6">
            <w:pPr>
              <w:pStyle w:val="NoSpacing"/>
            </w:pPr>
            <w:r>
              <w:t>Analysis of 2 Texts</w:t>
            </w:r>
          </w:p>
        </w:tc>
        <w:tc>
          <w:tcPr>
            <w:tcW w:w="2374" w:type="dxa"/>
          </w:tcPr>
          <w:p w:rsidR="00207514" w:rsidRDefault="00207514" w:rsidP="00F975E6">
            <w:pPr>
              <w:pStyle w:val="NoSpacing"/>
            </w:pPr>
            <w:r>
              <w:t>2 multiple choice</w:t>
            </w:r>
          </w:p>
          <w:p w:rsidR="00207514" w:rsidRDefault="00207514" w:rsidP="00F975E6">
            <w:pPr>
              <w:pStyle w:val="NoSpacing"/>
            </w:pPr>
            <w:r>
              <w:t>1 written response</w:t>
            </w:r>
          </w:p>
        </w:tc>
        <w:tc>
          <w:tcPr>
            <w:tcW w:w="3206" w:type="dxa"/>
          </w:tcPr>
          <w:p w:rsidR="00207514" w:rsidRDefault="00207514" w:rsidP="00207514">
            <w:pPr>
              <w:pStyle w:val="NoSpacing"/>
            </w:pPr>
            <w:r>
              <w:t>-</w:t>
            </w:r>
            <w:r>
              <w:t>Approx. 5 paragraphs</w:t>
            </w:r>
          </w:p>
          <w:p w:rsidR="00207514" w:rsidRDefault="00207514" w:rsidP="00207514">
            <w:pPr>
              <w:pStyle w:val="NoSpacing"/>
            </w:pPr>
            <w:r>
              <w:t>-</w:t>
            </w:r>
            <w:r>
              <w:t>Drawing connections between 2 texts</w:t>
            </w:r>
          </w:p>
        </w:tc>
        <w:tc>
          <w:tcPr>
            <w:tcW w:w="715" w:type="dxa"/>
          </w:tcPr>
          <w:p w:rsidR="00207514" w:rsidRDefault="00207514" w:rsidP="00F975E6">
            <w:pPr>
              <w:pStyle w:val="NoSpacing"/>
            </w:pPr>
            <w:r>
              <w:t>30%</w:t>
            </w:r>
          </w:p>
        </w:tc>
      </w:tr>
      <w:tr w:rsidR="00207514" w:rsidTr="00207514">
        <w:tc>
          <w:tcPr>
            <w:tcW w:w="535" w:type="dxa"/>
          </w:tcPr>
          <w:p w:rsidR="00207514" w:rsidRPr="00207514" w:rsidRDefault="00207514" w:rsidP="00F975E6">
            <w:pPr>
              <w:pStyle w:val="NoSpacing"/>
              <w:rPr>
                <w:b/>
              </w:rPr>
            </w:pPr>
            <w:r w:rsidRPr="00207514">
              <w:rPr>
                <w:b/>
              </w:rPr>
              <w:t>D</w:t>
            </w:r>
          </w:p>
        </w:tc>
        <w:tc>
          <w:tcPr>
            <w:tcW w:w="2520" w:type="dxa"/>
          </w:tcPr>
          <w:p w:rsidR="00207514" w:rsidRDefault="00207514" w:rsidP="00F975E6">
            <w:pPr>
              <w:pStyle w:val="NoSpacing"/>
            </w:pPr>
            <w:r>
              <w:t>Composition</w:t>
            </w:r>
          </w:p>
        </w:tc>
        <w:tc>
          <w:tcPr>
            <w:tcW w:w="2374" w:type="dxa"/>
          </w:tcPr>
          <w:p w:rsidR="00207514" w:rsidRDefault="00207514" w:rsidP="00F975E6">
            <w:pPr>
              <w:pStyle w:val="NoSpacing"/>
            </w:pPr>
            <w:r>
              <w:t>1 written response</w:t>
            </w:r>
          </w:p>
        </w:tc>
        <w:tc>
          <w:tcPr>
            <w:tcW w:w="3206" w:type="dxa"/>
          </w:tcPr>
          <w:p w:rsidR="00207514" w:rsidRDefault="00207514" w:rsidP="00207514">
            <w:pPr>
              <w:pStyle w:val="NoSpacing"/>
            </w:pPr>
            <w:r>
              <w:t>-</w:t>
            </w:r>
            <w:proofErr w:type="gramStart"/>
            <w:r>
              <w:t>Approx..</w:t>
            </w:r>
            <w:proofErr w:type="gramEnd"/>
            <w:r>
              <w:t xml:space="preserve"> 5 paragraphs</w:t>
            </w:r>
          </w:p>
          <w:p w:rsidR="00207514" w:rsidRDefault="00207514" w:rsidP="00207514">
            <w:pPr>
              <w:pStyle w:val="NoSpacing"/>
            </w:pPr>
            <w:r>
              <w:t>-</w:t>
            </w:r>
            <w:r>
              <w:t>Broad topic / personal</w:t>
            </w:r>
          </w:p>
          <w:p w:rsidR="00207514" w:rsidRDefault="00207514" w:rsidP="00207514">
            <w:pPr>
              <w:pStyle w:val="NoSpacing"/>
            </w:pPr>
          </w:p>
        </w:tc>
        <w:tc>
          <w:tcPr>
            <w:tcW w:w="715" w:type="dxa"/>
          </w:tcPr>
          <w:p w:rsidR="00207514" w:rsidRDefault="00207514" w:rsidP="00F975E6">
            <w:pPr>
              <w:pStyle w:val="NoSpacing"/>
            </w:pPr>
            <w:r>
              <w:t>30%</w:t>
            </w:r>
          </w:p>
        </w:tc>
      </w:tr>
    </w:tbl>
    <w:p w:rsidR="00207514" w:rsidRPr="00207514" w:rsidRDefault="00207514" w:rsidP="00F975E6">
      <w:pPr>
        <w:pStyle w:val="NoSpacing"/>
      </w:pPr>
    </w:p>
    <w:p w:rsidR="00E54EE8" w:rsidRDefault="00E54EE8" w:rsidP="00E54EE8">
      <w:pPr>
        <w:pStyle w:val="Heading1"/>
      </w:pPr>
      <w:r>
        <w:t>Resources</w:t>
      </w:r>
    </w:p>
    <w:p w:rsidR="00E54EE8" w:rsidRDefault="00E54EE8" w:rsidP="00E54EE8">
      <w:r>
        <w:t xml:space="preserve">Course Website: </w:t>
      </w:r>
      <w:r>
        <w:tab/>
      </w:r>
      <w:r>
        <w:tab/>
      </w:r>
      <w:hyperlink r:id="rId13" w:history="1">
        <w:r w:rsidRPr="00C47A90">
          <w:rPr>
            <w:rStyle w:val="Hyperlink"/>
          </w:rPr>
          <w:t>http://dstokes.sd62.bc.ca</w:t>
        </w:r>
      </w:hyperlink>
    </w:p>
    <w:p w:rsidR="0087690B" w:rsidRDefault="0087690B" w:rsidP="0087690B">
      <w:r>
        <w:t>World War Z by Max Brooks</w:t>
      </w:r>
    </w:p>
    <w:p w:rsidR="0087690B" w:rsidRDefault="0087690B" w:rsidP="0087690B">
      <w:pPr>
        <w:pStyle w:val="NoSpacing"/>
        <w:ind w:left="2160" w:firstLine="720"/>
      </w:pPr>
      <w:r>
        <w:t>Memoirs of a Geisha by Arthur Golden</w:t>
      </w:r>
    </w:p>
    <w:p w:rsidR="0087690B" w:rsidRDefault="0087690B" w:rsidP="0087690B">
      <w:pPr>
        <w:pStyle w:val="NoSpacing"/>
        <w:numPr>
          <w:ilvl w:val="0"/>
          <w:numId w:val="11"/>
        </w:numPr>
      </w:pPr>
      <w:r>
        <w:t>Reason Why by Jay Asher</w:t>
      </w:r>
    </w:p>
    <w:p w:rsidR="0087690B" w:rsidRDefault="0087690B" w:rsidP="0087690B">
      <w:pPr>
        <w:pStyle w:val="NoSpacing"/>
        <w:ind w:left="2160" w:firstLine="720"/>
      </w:pPr>
      <w:r>
        <w:t>Escape from Camp 14 by Blaine Harden</w:t>
      </w:r>
    </w:p>
    <w:p w:rsidR="0087690B" w:rsidRDefault="0087690B" w:rsidP="0087690B">
      <w:pPr>
        <w:pStyle w:val="NoSpacing"/>
        <w:ind w:left="2160" w:firstLine="720"/>
      </w:pPr>
      <w:r>
        <w:t xml:space="preserve">The Kite Runner by Khaled </w:t>
      </w:r>
      <w:proofErr w:type="spellStart"/>
      <w:r>
        <w:t>Hosseini</w:t>
      </w:r>
      <w:proofErr w:type="spellEnd"/>
    </w:p>
    <w:p w:rsidR="0087690B" w:rsidRPr="0087690B" w:rsidRDefault="0087690B" w:rsidP="0087690B">
      <w:pPr>
        <w:pStyle w:val="NoSpacing"/>
      </w:pPr>
      <w:bookmarkStart w:id="0" w:name="_GoBack"/>
      <w:bookmarkEnd w:id="0"/>
    </w:p>
    <w:p w:rsidR="00E54EE8" w:rsidRPr="00E54EE8" w:rsidRDefault="00E54EE8" w:rsidP="00E54EE8">
      <w:pPr>
        <w:pStyle w:val="NoSpacing"/>
      </w:pPr>
    </w:p>
    <w:p w:rsidR="00E54EE8" w:rsidRDefault="00E54EE8" w:rsidP="0087690B">
      <w:r>
        <w:lastRenderedPageBreak/>
        <w:t>Novels</w:t>
      </w:r>
      <w:r w:rsidR="0087690B">
        <w:t>: Due to the condensed nature of this course, each student will select and read a novel of their choice. If you wish assistance selecting a novel, please come see me. I have lots of options here!</w:t>
      </w:r>
    </w:p>
    <w:p w:rsidR="0087690B" w:rsidRPr="0087690B" w:rsidRDefault="0087690B" w:rsidP="0087690B">
      <w:pPr>
        <w:pStyle w:val="NoSpacing"/>
      </w:pPr>
    </w:p>
    <w:p w:rsidR="00E54EE8" w:rsidRDefault="00E54EE8" w:rsidP="00E54EE8">
      <w:pPr>
        <w:pStyle w:val="NoSpacing"/>
      </w:pPr>
      <w:r>
        <w:t>Play</w:t>
      </w:r>
      <w:r>
        <w:tab/>
      </w:r>
      <w:r>
        <w:tab/>
      </w:r>
      <w:r>
        <w:tab/>
      </w:r>
      <w:r>
        <w:tab/>
        <w:t>Oedipus the King by Sophocles</w:t>
      </w:r>
    </w:p>
    <w:p w:rsidR="00E85054" w:rsidRDefault="00E85054" w:rsidP="008C100D">
      <w:pPr>
        <w:pStyle w:val="Heading1"/>
      </w:pPr>
      <w:r>
        <w:t>Expectations of Students</w:t>
      </w:r>
    </w:p>
    <w:p w:rsidR="00E85054" w:rsidRDefault="00E85054" w:rsidP="00E85054"/>
    <w:p w:rsidR="00E85054" w:rsidRPr="00E85054" w:rsidRDefault="00E85054" w:rsidP="00E85054">
      <w:pPr>
        <w:pStyle w:val="NoSpacing"/>
      </w:pPr>
      <w:r w:rsidRPr="00E85054">
        <w:rPr>
          <w:b/>
        </w:rPr>
        <w:t>Attendance:</w:t>
      </w:r>
      <w:r>
        <w:t xml:space="preserve"> This course is </w:t>
      </w:r>
      <w:r w:rsidRPr="00E54EE8">
        <w:rPr>
          <w:b/>
          <w:i/>
        </w:rPr>
        <w:t>designed as a face to face course</w:t>
      </w:r>
      <w:r>
        <w:t>. If your attendance will be irregular for whatever reason please consider our paper based or online options. Further information can be accessed by visiting or calling our office at 250-391-9002.</w:t>
      </w:r>
      <w:r w:rsidR="00E54EE8">
        <w:t xml:space="preserve"> </w:t>
      </w:r>
    </w:p>
    <w:p w:rsidR="00E85054" w:rsidRDefault="00E85054" w:rsidP="00E85054"/>
    <w:p w:rsidR="00E85054" w:rsidRDefault="00E85054" w:rsidP="00E85054">
      <w:pPr>
        <w:pStyle w:val="NoSpacing"/>
        <w:rPr>
          <w:i/>
        </w:rPr>
      </w:pPr>
      <w:r w:rsidRPr="00E85054">
        <w:rPr>
          <w:i/>
        </w:rPr>
        <w:t>*This course is a condensed course as we have approximately a third of the normal instructional hours. We only have 19 classes this semester and 45 instructional hours. Consequently, attendance is crucial for success.</w:t>
      </w:r>
    </w:p>
    <w:p w:rsidR="00E85054" w:rsidRDefault="00E85054" w:rsidP="00E85054">
      <w:pPr>
        <w:pStyle w:val="NoSpacing"/>
        <w:rPr>
          <w:i/>
        </w:rPr>
      </w:pPr>
    </w:p>
    <w:p w:rsidR="00E85054" w:rsidRPr="00D15413" w:rsidRDefault="00E85054" w:rsidP="00E85054">
      <w:pPr>
        <w:pStyle w:val="NoSpacing"/>
      </w:pPr>
      <w:r w:rsidRPr="00F975E6">
        <w:rPr>
          <w:b/>
        </w:rPr>
        <w:t>Assignment and Activity Completion</w:t>
      </w:r>
      <w:r w:rsidR="00D15413">
        <w:rPr>
          <w:b/>
        </w:rPr>
        <w:t xml:space="preserve">. </w:t>
      </w:r>
      <w:r w:rsidR="00D15413">
        <w:t xml:space="preserve">In order to pass English 12 you must demonstrate mastery of the learning outcomes. In order for me to evaluate your mastery, I must see what you can do through class discussions, assignments and activities. Without evidence, I cannot evaluate you (i.e. give you a grade). That being said, you are always welcome to propose an alternative assignment or activity that you feel will demonstrate your mastery of the learning outcomes for the course. </w:t>
      </w:r>
    </w:p>
    <w:p w:rsidR="00E85054" w:rsidRDefault="00E85054" w:rsidP="00E85054">
      <w:pPr>
        <w:pStyle w:val="NoSpacing"/>
      </w:pPr>
    </w:p>
    <w:p w:rsidR="00E85054" w:rsidRDefault="00F975E6" w:rsidP="00E85054">
      <w:pPr>
        <w:pStyle w:val="NoSpacing"/>
      </w:pPr>
      <w:r>
        <w:rPr>
          <w:b/>
        </w:rPr>
        <w:t>Plagiarism:</w:t>
      </w:r>
      <w:r>
        <w:t xml:space="preserve"> Claiming someone else’s ideas and work as your own is a serious offense. If you have any questions regarding this, please speak with me.</w:t>
      </w:r>
      <w:r w:rsidR="00D15413">
        <w:t xml:space="preserve"> </w:t>
      </w:r>
    </w:p>
    <w:p w:rsidR="00F975E6" w:rsidRDefault="00F975E6" w:rsidP="00E85054">
      <w:pPr>
        <w:pStyle w:val="NoSpacing"/>
      </w:pPr>
    </w:p>
    <w:p w:rsidR="00D15413" w:rsidRDefault="00F975E6" w:rsidP="008C100D">
      <w:pPr>
        <w:pStyle w:val="NoSpacing"/>
      </w:pPr>
      <w:r w:rsidRPr="00F975E6">
        <w:rPr>
          <w:b/>
        </w:rPr>
        <w:t>Positive and Respectful Behavior</w:t>
      </w:r>
      <w:r w:rsidR="00E54EE8">
        <w:rPr>
          <w:b/>
        </w:rPr>
        <w:t xml:space="preserve">: </w:t>
      </w:r>
      <w:r w:rsidR="00E54EE8" w:rsidRPr="00E54EE8">
        <w:t xml:space="preserve">We all benefit from a warm and safe learning environment. </w:t>
      </w:r>
    </w:p>
    <w:p w:rsidR="00D15413" w:rsidRDefault="00D15413" w:rsidP="00E54EE8">
      <w:pPr>
        <w:pStyle w:val="Heading1"/>
      </w:pPr>
      <w:r>
        <w:t>Additional Information</w:t>
      </w:r>
    </w:p>
    <w:p w:rsidR="00D15413" w:rsidRDefault="00D15413" w:rsidP="008C100D">
      <w:pPr>
        <w:pStyle w:val="NoSpacing"/>
      </w:pPr>
    </w:p>
    <w:p w:rsidR="00D15413" w:rsidRPr="00E54EE8" w:rsidRDefault="00D15413" w:rsidP="008C100D">
      <w:pPr>
        <w:pStyle w:val="NoSpacing"/>
        <w:rPr>
          <w:b/>
        </w:rPr>
      </w:pPr>
      <w:r w:rsidRPr="00E54EE8">
        <w:rPr>
          <w:b/>
        </w:rPr>
        <w:t>Academic and Post-Secondary Advice</w:t>
      </w:r>
      <w:r w:rsidR="00E54EE8">
        <w:rPr>
          <w:b/>
        </w:rPr>
        <w:t xml:space="preserve">: </w:t>
      </w:r>
      <w:r>
        <w:t>Contact Bonnie Benning either by emailing her (</w:t>
      </w:r>
      <w:hyperlink r:id="rId14" w:history="1">
        <w:r w:rsidRPr="00C47A90">
          <w:rPr>
            <w:rStyle w:val="Hyperlink"/>
          </w:rPr>
          <w:t>bbenning@sd62.bc.ca</w:t>
        </w:r>
      </w:hyperlink>
      <w:r>
        <w:t>) or setting up an appointment through the office (250-391-9002).</w:t>
      </w:r>
    </w:p>
    <w:p w:rsidR="00D15413" w:rsidRDefault="00D15413" w:rsidP="008C100D">
      <w:pPr>
        <w:pStyle w:val="NoSpacing"/>
      </w:pPr>
    </w:p>
    <w:p w:rsidR="00D15413" w:rsidRDefault="00D15413" w:rsidP="008C100D">
      <w:pPr>
        <w:pStyle w:val="NoSpacing"/>
      </w:pPr>
      <w:r w:rsidRPr="00E54EE8">
        <w:rPr>
          <w:b/>
        </w:rPr>
        <w:t>Counseling Services</w:t>
      </w:r>
      <w:r w:rsidR="00E54EE8" w:rsidRPr="00E54EE8">
        <w:rPr>
          <w:b/>
        </w:rPr>
        <w:t>:</w:t>
      </w:r>
      <w:r w:rsidR="00E54EE8">
        <w:t xml:space="preserve"> Contact our Youth and Family Counsellor Lisa Clarabut at </w:t>
      </w:r>
      <w:hyperlink r:id="rId15" w:history="1">
        <w:r w:rsidR="00E54EE8" w:rsidRPr="00C47A90">
          <w:rPr>
            <w:rStyle w:val="Hyperlink"/>
          </w:rPr>
          <w:t>lclarabut@sd62.bc.ca</w:t>
        </w:r>
      </w:hyperlink>
      <w:r w:rsidR="00E54EE8">
        <w:t>.</w:t>
      </w:r>
    </w:p>
    <w:p w:rsidR="00E54EE8" w:rsidRDefault="00E54EE8" w:rsidP="008C100D">
      <w:pPr>
        <w:pStyle w:val="NoSpacing"/>
      </w:pPr>
    </w:p>
    <w:p w:rsidR="00E54EE8" w:rsidRDefault="00E54EE8" w:rsidP="008C100D">
      <w:pPr>
        <w:pStyle w:val="NoSpacing"/>
      </w:pPr>
      <w:r w:rsidRPr="00E54EE8">
        <w:rPr>
          <w:b/>
        </w:rPr>
        <w:t>Learning Support:</w:t>
      </w:r>
      <w:r>
        <w:t xml:space="preserve"> Contact our learning specialist Lyle Goertz at </w:t>
      </w:r>
      <w:hyperlink r:id="rId16" w:history="1">
        <w:r w:rsidRPr="00C47A90">
          <w:rPr>
            <w:rStyle w:val="Hyperlink"/>
          </w:rPr>
          <w:t>lgoertz@sd62.bc.ca</w:t>
        </w:r>
      </w:hyperlink>
      <w:r>
        <w:t>.</w:t>
      </w:r>
    </w:p>
    <w:p w:rsidR="00E54EE8" w:rsidRDefault="00E54EE8" w:rsidP="008C100D">
      <w:pPr>
        <w:pStyle w:val="NoSpacing"/>
      </w:pPr>
    </w:p>
    <w:p w:rsidR="00E54EE8" w:rsidRPr="00E54EE8" w:rsidRDefault="00D15413" w:rsidP="00E54EE8">
      <w:pPr>
        <w:pStyle w:val="NoSpacing"/>
        <w:rPr>
          <w:b/>
        </w:rPr>
      </w:pPr>
      <w:r w:rsidRPr="00E54EE8">
        <w:rPr>
          <w:b/>
        </w:rPr>
        <w:lastRenderedPageBreak/>
        <w:t>Administration</w:t>
      </w:r>
      <w:r w:rsidR="00E54EE8" w:rsidRPr="00E54EE8">
        <w:rPr>
          <w:b/>
        </w:rPr>
        <w:t>:</w:t>
      </w:r>
      <w:r w:rsidR="00E54EE8">
        <w:t xml:space="preserve"> Contact our Principal Paul Block at </w:t>
      </w:r>
      <w:hyperlink r:id="rId17" w:history="1">
        <w:r w:rsidR="00E54EE8" w:rsidRPr="00C47A90">
          <w:rPr>
            <w:rStyle w:val="Hyperlink"/>
          </w:rPr>
          <w:t>pblock@sd62.bc.ca</w:t>
        </w:r>
      </w:hyperlink>
      <w:r w:rsidR="00E54EE8">
        <w:t xml:space="preserve"> </w:t>
      </w:r>
      <w:r w:rsidR="00E54EE8">
        <w:t xml:space="preserve">or </w:t>
      </w:r>
      <w:r w:rsidR="00E54EE8">
        <w:t xml:space="preserve">by </w:t>
      </w:r>
      <w:r w:rsidR="00E54EE8">
        <w:t>setting up an appointment through the office (250-391-9002).</w:t>
      </w:r>
    </w:p>
    <w:p w:rsidR="00D15413" w:rsidRPr="00E91C59" w:rsidRDefault="00D15413" w:rsidP="008C100D">
      <w:pPr>
        <w:pStyle w:val="NoSpacing"/>
      </w:pPr>
    </w:p>
    <w:sectPr w:rsidR="00D15413" w:rsidRPr="00E91C59">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034" w:rsidRDefault="00921034" w:rsidP="00524FC3">
      <w:r>
        <w:separator/>
      </w:r>
    </w:p>
  </w:endnote>
  <w:endnote w:type="continuationSeparator" w:id="0">
    <w:p w:rsidR="00921034" w:rsidRDefault="00921034" w:rsidP="0052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034" w:rsidRDefault="00921034" w:rsidP="00524FC3">
      <w:r>
        <w:separator/>
      </w:r>
    </w:p>
  </w:footnote>
  <w:footnote w:type="continuationSeparator" w:id="0">
    <w:p w:rsidR="00921034" w:rsidRDefault="00921034" w:rsidP="00524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FC3" w:rsidRDefault="00524FC3">
    <w:pPr>
      <w:pStyle w:val="Header"/>
      <w:rPr>
        <w:sz w:val="16"/>
        <w:szCs w:val="16"/>
      </w:rPr>
    </w:pPr>
    <w:r w:rsidRPr="00524FC3">
      <w:rPr>
        <w:sz w:val="16"/>
        <w:szCs w:val="16"/>
      </w:rPr>
      <w:t>Devon Stokes-Bennett</w:t>
    </w:r>
    <w:r w:rsidR="008C100D">
      <w:rPr>
        <w:sz w:val="16"/>
        <w:szCs w:val="16"/>
      </w:rPr>
      <w:tab/>
    </w:r>
    <w:r w:rsidR="008C100D">
      <w:rPr>
        <w:sz w:val="16"/>
        <w:szCs w:val="16"/>
      </w:rPr>
      <w:tab/>
      <w:t>2013-2014</w:t>
    </w:r>
  </w:p>
  <w:p w:rsidR="00524FC3" w:rsidRPr="00524FC3" w:rsidRDefault="008C100D">
    <w:pPr>
      <w:pStyle w:val="Header"/>
      <w:rPr>
        <w:sz w:val="16"/>
        <w:szCs w:val="16"/>
      </w:rPr>
    </w:pPr>
    <w:r>
      <w:rPr>
        <w:sz w:val="16"/>
        <w:szCs w:val="16"/>
      </w:rPr>
      <w:t>English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E042D"/>
    <w:multiLevelType w:val="hybridMultilevel"/>
    <w:tmpl w:val="AA1C96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67439"/>
    <w:multiLevelType w:val="hybridMultilevel"/>
    <w:tmpl w:val="CD361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1F079C"/>
    <w:multiLevelType w:val="hybridMultilevel"/>
    <w:tmpl w:val="4D341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2A2E92"/>
    <w:multiLevelType w:val="hybridMultilevel"/>
    <w:tmpl w:val="C4407D04"/>
    <w:lvl w:ilvl="0" w:tplc="07129056">
      <w:start w:val="13"/>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3DD2649E"/>
    <w:multiLevelType w:val="hybridMultilevel"/>
    <w:tmpl w:val="90105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0E634A"/>
    <w:multiLevelType w:val="hybridMultilevel"/>
    <w:tmpl w:val="B2E21898"/>
    <w:lvl w:ilvl="0" w:tplc="513E26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A107F"/>
    <w:multiLevelType w:val="hybridMultilevel"/>
    <w:tmpl w:val="72A2314A"/>
    <w:lvl w:ilvl="0" w:tplc="939077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3177E8E"/>
    <w:multiLevelType w:val="hybridMultilevel"/>
    <w:tmpl w:val="6F0230C8"/>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nsid w:val="4A556CF8"/>
    <w:multiLevelType w:val="hybridMultilevel"/>
    <w:tmpl w:val="12525BF2"/>
    <w:lvl w:ilvl="0" w:tplc="2B164B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A0152C"/>
    <w:multiLevelType w:val="hybridMultilevel"/>
    <w:tmpl w:val="0D5CBC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62462"/>
    <w:multiLevelType w:val="hybridMultilevel"/>
    <w:tmpl w:val="05222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A17AE2"/>
    <w:multiLevelType w:val="hybridMultilevel"/>
    <w:tmpl w:val="E4A639D6"/>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79446F72"/>
    <w:multiLevelType w:val="hybridMultilevel"/>
    <w:tmpl w:val="9F46F278"/>
    <w:lvl w:ilvl="0" w:tplc="11BEE2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9"/>
  </w:num>
  <w:num w:numId="4">
    <w:abstractNumId w:val="5"/>
  </w:num>
  <w:num w:numId="5">
    <w:abstractNumId w:val="6"/>
  </w:num>
  <w:num w:numId="6">
    <w:abstractNumId w:val="12"/>
  </w:num>
  <w:num w:numId="7">
    <w:abstractNumId w:val="10"/>
  </w:num>
  <w:num w:numId="8">
    <w:abstractNumId w:val="4"/>
  </w:num>
  <w:num w:numId="9">
    <w:abstractNumId w:val="7"/>
  </w:num>
  <w:num w:numId="10">
    <w:abstractNumId w:val="11"/>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5D"/>
    <w:rsid w:val="00110DA8"/>
    <w:rsid w:val="00156865"/>
    <w:rsid w:val="00207514"/>
    <w:rsid w:val="002528AF"/>
    <w:rsid w:val="002F2457"/>
    <w:rsid w:val="003025DB"/>
    <w:rsid w:val="00343FAE"/>
    <w:rsid w:val="00507F7C"/>
    <w:rsid w:val="00524FC3"/>
    <w:rsid w:val="006562C4"/>
    <w:rsid w:val="007C3754"/>
    <w:rsid w:val="0087690B"/>
    <w:rsid w:val="008B2EE7"/>
    <w:rsid w:val="008C100D"/>
    <w:rsid w:val="00921034"/>
    <w:rsid w:val="0096395D"/>
    <w:rsid w:val="00975184"/>
    <w:rsid w:val="00AD167E"/>
    <w:rsid w:val="00D15413"/>
    <w:rsid w:val="00D371BD"/>
    <w:rsid w:val="00DA7859"/>
    <w:rsid w:val="00DF0951"/>
    <w:rsid w:val="00E54EE8"/>
    <w:rsid w:val="00E85054"/>
    <w:rsid w:val="00E91C59"/>
    <w:rsid w:val="00EF5B87"/>
    <w:rsid w:val="00F975E6"/>
    <w:rsid w:val="00FE7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6881B-0FCF-4A99-81F4-BF9B63FDF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3025DB"/>
    <w:pPr>
      <w:spacing w:after="0" w:line="240" w:lineRule="auto"/>
    </w:pPr>
    <w:rPr>
      <w:rFonts w:ascii="Century Gothic" w:hAnsi="Century Gothic"/>
      <w:sz w:val="24"/>
      <w:szCs w:val="24"/>
    </w:rPr>
  </w:style>
  <w:style w:type="paragraph" w:styleId="Heading1">
    <w:name w:val="heading 1"/>
    <w:basedOn w:val="Normal"/>
    <w:next w:val="Normal"/>
    <w:link w:val="Heading1Char"/>
    <w:uiPriority w:val="9"/>
    <w:qFormat/>
    <w:rsid w:val="00524FC3"/>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524FC3"/>
    <w:pPr>
      <w:keepNext/>
      <w:keepLines/>
      <w:spacing w:before="4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156865"/>
  </w:style>
  <w:style w:type="paragraph" w:styleId="NormalWeb">
    <w:name w:val="Normal (Web)"/>
    <w:basedOn w:val="Normal"/>
    <w:uiPriority w:val="99"/>
    <w:unhideWhenUsed/>
    <w:rsid w:val="003025DB"/>
    <w:pPr>
      <w:spacing w:before="100" w:beforeAutospacing="1" w:after="100" w:afterAutospacing="1"/>
    </w:pPr>
    <w:rPr>
      <w:rFonts w:eastAsia="Times New Roman" w:cs="Times New Roman"/>
    </w:rPr>
  </w:style>
  <w:style w:type="character" w:styleId="Strong">
    <w:name w:val="Strong"/>
    <w:basedOn w:val="DefaultParagraphFont"/>
    <w:uiPriority w:val="22"/>
    <w:qFormat/>
    <w:rsid w:val="003025DB"/>
    <w:rPr>
      <w:b/>
      <w:bCs/>
    </w:rPr>
  </w:style>
  <w:style w:type="character" w:customStyle="1" w:styleId="Heading1Char">
    <w:name w:val="Heading 1 Char"/>
    <w:basedOn w:val="DefaultParagraphFont"/>
    <w:link w:val="Heading1"/>
    <w:uiPriority w:val="9"/>
    <w:rsid w:val="00524FC3"/>
    <w:rPr>
      <w:rFonts w:ascii="Century Gothic" w:eastAsiaTheme="majorEastAsia" w:hAnsi="Century Gothic" w:cstheme="majorBidi"/>
      <w:b/>
      <w:sz w:val="32"/>
      <w:szCs w:val="32"/>
    </w:rPr>
  </w:style>
  <w:style w:type="character" w:styleId="Hyperlink">
    <w:name w:val="Hyperlink"/>
    <w:basedOn w:val="DefaultParagraphFont"/>
    <w:uiPriority w:val="99"/>
    <w:unhideWhenUsed/>
    <w:rsid w:val="00343FAE"/>
    <w:rPr>
      <w:color w:val="0563C1" w:themeColor="hyperlink"/>
      <w:u w:val="single"/>
    </w:rPr>
  </w:style>
  <w:style w:type="character" w:styleId="Emphasis">
    <w:name w:val="Emphasis"/>
    <w:basedOn w:val="DefaultParagraphFont"/>
    <w:uiPriority w:val="20"/>
    <w:qFormat/>
    <w:rsid w:val="00343FAE"/>
    <w:rPr>
      <w:i/>
      <w:iCs/>
    </w:rPr>
  </w:style>
  <w:style w:type="paragraph" w:styleId="ListParagraph">
    <w:name w:val="List Paragraph"/>
    <w:basedOn w:val="Normal"/>
    <w:uiPriority w:val="34"/>
    <w:qFormat/>
    <w:rsid w:val="002528AF"/>
    <w:pPr>
      <w:ind w:left="720"/>
      <w:contextualSpacing/>
    </w:pPr>
  </w:style>
  <w:style w:type="character" w:customStyle="1" w:styleId="Heading2Char">
    <w:name w:val="Heading 2 Char"/>
    <w:basedOn w:val="DefaultParagraphFont"/>
    <w:link w:val="Heading2"/>
    <w:uiPriority w:val="9"/>
    <w:rsid w:val="00524FC3"/>
    <w:rPr>
      <w:rFonts w:ascii="Century Gothic" w:eastAsiaTheme="majorEastAsia" w:hAnsi="Century Gothic" w:cstheme="majorBidi"/>
      <w:b/>
      <w:sz w:val="26"/>
      <w:szCs w:val="26"/>
    </w:rPr>
  </w:style>
  <w:style w:type="paragraph" w:styleId="Header">
    <w:name w:val="header"/>
    <w:basedOn w:val="Normal"/>
    <w:link w:val="HeaderChar"/>
    <w:uiPriority w:val="99"/>
    <w:unhideWhenUsed/>
    <w:rsid w:val="00524FC3"/>
    <w:pPr>
      <w:tabs>
        <w:tab w:val="center" w:pos="4680"/>
        <w:tab w:val="right" w:pos="9360"/>
      </w:tabs>
    </w:pPr>
  </w:style>
  <w:style w:type="character" w:customStyle="1" w:styleId="HeaderChar">
    <w:name w:val="Header Char"/>
    <w:basedOn w:val="DefaultParagraphFont"/>
    <w:link w:val="Header"/>
    <w:uiPriority w:val="99"/>
    <w:rsid w:val="00524FC3"/>
    <w:rPr>
      <w:rFonts w:ascii="Century Gothic" w:hAnsi="Century Gothic"/>
      <w:sz w:val="24"/>
      <w:szCs w:val="24"/>
    </w:rPr>
  </w:style>
  <w:style w:type="paragraph" w:styleId="Footer">
    <w:name w:val="footer"/>
    <w:basedOn w:val="Normal"/>
    <w:link w:val="FooterChar"/>
    <w:uiPriority w:val="99"/>
    <w:unhideWhenUsed/>
    <w:rsid w:val="00524FC3"/>
    <w:pPr>
      <w:tabs>
        <w:tab w:val="center" w:pos="4680"/>
        <w:tab w:val="right" w:pos="9360"/>
      </w:tabs>
    </w:pPr>
  </w:style>
  <w:style w:type="character" w:customStyle="1" w:styleId="FooterChar">
    <w:name w:val="Footer Char"/>
    <w:basedOn w:val="DefaultParagraphFont"/>
    <w:link w:val="Footer"/>
    <w:uiPriority w:val="99"/>
    <w:rsid w:val="00524FC3"/>
    <w:rPr>
      <w:rFonts w:ascii="Century Gothic" w:hAnsi="Century Gothic"/>
      <w:sz w:val="24"/>
      <w:szCs w:val="24"/>
    </w:rPr>
  </w:style>
  <w:style w:type="paragraph" w:styleId="BalloonText">
    <w:name w:val="Balloon Text"/>
    <w:basedOn w:val="Normal"/>
    <w:link w:val="BalloonTextChar"/>
    <w:uiPriority w:val="99"/>
    <w:semiHidden/>
    <w:unhideWhenUsed/>
    <w:rsid w:val="002F24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457"/>
    <w:rPr>
      <w:rFonts w:ascii="Segoe UI" w:hAnsi="Segoe UI" w:cs="Segoe UI"/>
      <w:sz w:val="18"/>
      <w:szCs w:val="18"/>
    </w:rPr>
  </w:style>
  <w:style w:type="table" w:styleId="TableGrid">
    <w:name w:val="Table Grid"/>
    <w:basedOn w:val="TableNormal"/>
    <w:uiPriority w:val="39"/>
    <w:rsid w:val="00E850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698645">
      <w:bodyDiv w:val="1"/>
      <w:marLeft w:val="0"/>
      <w:marRight w:val="0"/>
      <w:marTop w:val="0"/>
      <w:marBottom w:val="0"/>
      <w:divBdr>
        <w:top w:val="none" w:sz="0" w:space="0" w:color="auto"/>
        <w:left w:val="none" w:sz="0" w:space="0" w:color="auto"/>
        <w:bottom w:val="none" w:sz="0" w:space="0" w:color="auto"/>
        <w:right w:val="none" w:sz="0" w:space="0" w:color="auto"/>
      </w:divBdr>
    </w:div>
    <w:div w:id="1439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stokes.sd62.bc.ca"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ced.gov.bc.ca/irp/pdfs/english_language_arts/2007ela_812.pdf" TargetMode="External"/><Relationship Id="rId12" Type="http://schemas.openxmlformats.org/officeDocument/2006/relationships/hyperlink" Target="http://www.bced.gov.bc.ca/exams/" TargetMode="External"/><Relationship Id="rId17" Type="http://schemas.openxmlformats.org/officeDocument/2006/relationships/hyperlink" Target="mailto:pblock@sd62.bc.ca" TargetMode="External"/><Relationship Id="rId2" Type="http://schemas.openxmlformats.org/officeDocument/2006/relationships/styles" Target="styles.xml"/><Relationship Id="rId16" Type="http://schemas.openxmlformats.org/officeDocument/2006/relationships/hyperlink" Target="mailto:lgoertz@sd62.bc.c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ced.gov.bc.ca/perf_stands/" TargetMode="External"/><Relationship Id="rId5" Type="http://schemas.openxmlformats.org/officeDocument/2006/relationships/footnotes" Target="footnotes.xml"/><Relationship Id="rId15" Type="http://schemas.openxmlformats.org/officeDocument/2006/relationships/hyperlink" Target="mailto:lclarabut@sd62.bc.ca" TargetMode="External"/><Relationship Id="rId10" Type="http://schemas.openxmlformats.org/officeDocument/2006/relationships/hyperlink" Target="http://diglit.staff.sd62.bc.ca/files/2013/07/diglit_performance_standards2.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hyperlink" Target="mailto:bbenning@sd62.b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6</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SD62</Company>
  <LinksUpToDate>false</LinksUpToDate>
  <CharactersWithSpaces>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Stokes-Bennett</dc:creator>
  <cp:keywords/>
  <dc:description/>
  <cp:lastModifiedBy>Devon Stokes-Bennett</cp:lastModifiedBy>
  <cp:revision>7</cp:revision>
  <cp:lastPrinted>2013-08-28T16:47:00Z</cp:lastPrinted>
  <dcterms:created xsi:type="dcterms:W3CDTF">2013-08-27T18:36:00Z</dcterms:created>
  <dcterms:modified xsi:type="dcterms:W3CDTF">2013-08-28T16:47:00Z</dcterms:modified>
</cp:coreProperties>
</file>